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A23FDB" w14:textId="77777777" w:rsidR="00B42512" w:rsidRDefault="00177938">
      <w:pPr>
        <w:spacing w:after="216" w:line="259" w:lineRule="auto"/>
        <w:ind w:left="720" w:right="0" w:firstLine="0"/>
        <w:jc w:val="left"/>
      </w:pPr>
      <w:r>
        <w:rPr>
          <w:rFonts w:ascii="Calibri" w:eastAsia="Calibri" w:hAnsi="Calibri" w:cs="Calibri"/>
          <w:noProof/>
        </w:rPr>
        <mc:AlternateContent>
          <mc:Choice Requires="wpg">
            <w:drawing>
              <wp:inline distT="0" distB="0" distL="0" distR="0" wp14:anchorId="5B1805C3" wp14:editId="43A1F523">
                <wp:extent cx="5995625" cy="1205806"/>
                <wp:effectExtent l="0" t="0" r="0" b="0"/>
                <wp:docPr id="5975" name="Group 5975"/>
                <wp:cNvGraphicFramePr/>
                <a:graphic xmlns:a="http://schemas.openxmlformats.org/drawingml/2006/main">
                  <a:graphicData uri="http://schemas.microsoft.com/office/word/2010/wordprocessingGroup">
                    <wpg:wgp>
                      <wpg:cNvGrpSpPr/>
                      <wpg:grpSpPr>
                        <a:xfrm>
                          <a:off x="0" y="0"/>
                          <a:ext cx="5995625" cy="1205806"/>
                          <a:chOff x="0" y="0"/>
                          <a:chExt cx="5995625" cy="1205806"/>
                        </a:xfrm>
                      </wpg:grpSpPr>
                      <wps:wsp>
                        <wps:cNvPr id="7479" name="Shape 7479"/>
                        <wps:cNvSpPr/>
                        <wps:spPr>
                          <a:xfrm>
                            <a:off x="0" y="895350"/>
                            <a:ext cx="5943600" cy="9525"/>
                          </a:xfrm>
                          <a:custGeom>
                            <a:avLst/>
                            <a:gdLst/>
                            <a:ahLst/>
                            <a:cxnLst/>
                            <a:rect l="0" t="0" r="0" b="0"/>
                            <a:pathLst>
                              <a:path w="5943600" h="9525">
                                <a:moveTo>
                                  <a:pt x="0" y="0"/>
                                </a:moveTo>
                                <a:lnTo>
                                  <a:pt x="5943600" y="0"/>
                                </a:lnTo>
                                <a:lnTo>
                                  <a:pt x="5943600" y="9525"/>
                                </a:lnTo>
                                <a:lnTo>
                                  <a:pt x="0" y="9525"/>
                                </a:lnTo>
                                <a:lnTo>
                                  <a:pt x="0" y="0"/>
                                </a:lnTo>
                              </a:path>
                            </a:pathLst>
                          </a:custGeom>
                          <a:ln w="0" cap="flat">
                            <a:miter lim="127000"/>
                          </a:ln>
                        </wps:spPr>
                        <wps:style>
                          <a:lnRef idx="0">
                            <a:srgbClr val="000000">
                              <a:alpha val="0"/>
                            </a:srgbClr>
                          </a:lnRef>
                          <a:fillRef idx="1">
                            <a:srgbClr val="B3B4B6"/>
                          </a:fillRef>
                          <a:effectRef idx="0">
                            <a:scrgbClr r="0" g="0" b="0"/>
                          </a:effectRef>
                          <a:fontRef idx="none"/>
                        </wps:style>
                        <wps:bodyPr/>
                      </wps:wsp>
                      <pic:pic xmlns:pic="http://schemas.openxmlformats.org/drawingml/2006/picture">
                        <pic:nvPicPr>
                          <pic:cNvPr id="9" name="Picture 9"/>
                          <pic:cNvPicPr/>
                        </pic:nvPicPr>
                        <pic:blipFill>
                          <a:blip r:embed="rId7"/>
                          <a:stretch>
                            <a:fillRect/>
                          </a:stretch>
                        </pic:blipFill>
                        <pic:spPr>
                          <a:xfrm>
                            <a:off x="0" y="0"/>
                            <a:ext cx="2200819" cy="685800"/>
                          </a:xfrm>
                          <a:prstGeom prst="rect">
                            <a:avLst/>
                          </a:prstGeom>
                        </pic:spPr>
                      </pic:pic>
                      <wps:wsp>
                        <wps:cNvPr id="11" name="Rectangle 11"/>
                        <wps:cNvSpPr/>
                        <wps:spPr>
                          <a:xfrm>
                            <a:off x="4173200" y="264220"/>
                            <a:ext cx="2402578" cy="217736"/>
                          </a:xfrm>
                          <a:prstGeom prst="rect">
                            <a:avLst/>
                          </a:prstGeom>
                          <a:ln>
                            <a:noFill/>
                          </a:ln>
                        </wps:spPr>
                        <wps:txbx>
                          <w:txbxContent>
                            <w:p w14:paraId="36DFAC82" w14:textId="77777777" w:rsidR="00B42512" w:rsidRDefault="00177938">
                              <w:pPr>
                                <w:spacing w:after="160" w:line="259" w:lineRule="auto"/>
                                <w:ind w:left="0" w:right="0" w:firstLine="0"/>
                                <w:jc w:val="left"/>
                              </w:pPr>
                              <w:r>
                                <w:rPr>
                                  <w:rFonts w:ascii="Calibri" w:eastAsia="Calibri" w:hAnsi="Calibri" w:cs="Calibri"/>
                                  <w:w w:val="111"/>
                                </w:rPr>
                                <w:t>Cornell</w:t>
                              </w:r>
                              <w:r>
                                <w:rPr>
                                  <w:rFonts w:ascii="Calibri" w:eastAsia="Calibri" w:hAnsi="Calibri" w:cs="Calibri"/>
                                  <w:spacing w:val="5"/>
                                  <w:w w:val="111"/>
                                </w:rPr>
                                <w:t xml:space="preserve"> </w:t>
                              </w:r>
                              <w:r>
                                <w:rPr>
                                  <w:rFonts w:ascii="Calibri" w:eastAsia="Calibri" w:hAnsi="Calibri" w:cs="Calibri"/>
                                  <w:w w:val="111"/>
                                </w:rPr>
                                <w:t>University</w:t>
                              </w:r>
                              <w:r>
                                <w:rPr>
                                  <w:rFonts w:ascii="Calibri" w:eastAsia="Calibri" w:hAnsi="Calibri" w:cs="Calibri"/>
                                  <w:spacing w:val="5"/>
                                  <w:w w:val="111"/>
                                </w:rPr>
                                <w:t xml:space="preserve"> </w:t>
                              </w:r>
                              <w:r>
                                <w:rPr>
                                  <w:rFonts w:ascii="Calibri" w:eastAsia="Calibri" w:hAnsi="Calibri" w:cs="Calibri"/>
                                  <w:w w:val="111"/>
                                </w:rPr>
                                <w:t>ILR</w:t>
                              </w:r>
                              <w:r>
                                <w:rPr>
                                  <w:rFonts w:ascii="Calibri" w:eastAsia="Calibri" w:hAnsi="Calibri" w:cs="Calibri"/>
                                  <w:spacing w:val="5"/>
                                  <w:w w:val="111"/>
                                </w:rPr>
                                <w:t xml:space="preserve"> </w:t>
                              </w:r>
                              <w:r>
                                <w:rPr>
                                  <w:rFonts w:ascii="Calibri" w:eastAsia="Calibri" w:hAnsi="Calibri" w:cs="Calibri"/>
                                  <w:w w:val="111"/>
                                </w:rPr>
                                <w:t>School</w:t>
                              </w:r>
                              <w:r>
                                <w:rPr>
                                  <w:rFonts w:ascii="Calibri" w:eastAsia="Calibri" w:hAnsi="Calibri" w:cs="Calibri"/>
                                  <w:spacing w:val="5"/>
                                  <w:w w:val="111"/>
                                </w:rPr>
                                <w:t xml:space="preserve"> </w:t>
                              </w:r>
                            </w:p>
                          </w:txbxContent>
                        </wps:txbx>
                        <wps:bodyPr horzOverflow="overflow" vert="horz" lIns="0" tIns="0" rIns="0" bIns="0" rtlCol="0">
                          <a:noAutofit/>
                        </wps:bodyPr>
                      </wps:wsp>
                      <wps:wsp>
                        <wps:cNvPr id="56" name="Rectangle 56"/>
                        <wps:cNvSpPr/>
                        <wps:spPr>
                          <a:xfrm>
                            <a:off x="3966266" y="484188"/>
                            <a:ext cx="2632294" cy="316706"/>
                          </a:xfrm>
                          <a:prstGeom prst="rect">
                            <a:avLst/>
                          </a:prstGeom>
                          <a:ln>
                            <a:noFill/>
                          </a:ln>
                        </wps:spPr>
                        <wps:txbx>
                          <w:txbxContent>
                            <w:p w14:paraId="4CEF7764" w14:textId="77777777" w:rsidR="00B42512" w:rsidRDefault="00177938">
                              <w:pPr>
                                <w:spacing w:after="160" w:line="259" w:lineRule="auto"/>
                                <w:ind w:left="0" w:right="0" w:firstLine="0"/>
                                <w:jc w:val="left"/>
                              </w:pPr>
                              <w:r>
                                <w:rPr>
                                  <w:rFonts w:ascii="Calibri" w:eastAsia="Calibri" w:hAnsi="Calibri" w:cs="Calibri"/>
                                  <w:color w:val="316190"/>
                                  <w:w w:val="112"/>
                                  <w:sz w:val="32"/>
                                </w:rPr>
                                <w:t>DigitalCommons@ILR</w:t>
                              </w:r>
                            </w:p>
                          </w:txbxContent>
                        </wps:txbx>
                        <wps:bodyPr horzOverflow="overflow" vert="horz" lIns="0" tIns="0" rIns="0" bIns="0" rtlCol="0">
                          <a:noAutofit/>
                        </wps:bodyPr>
                      </wps:wsp>
                      <wps:wsp>
                        <wps:cNvPr id="57" name="Rectangle 57"/>
                        <wps:cNvSpPr/>
                        <wps:spPr>
                          <a:xfrm>
                            <a:off x="5945434" y="484188"/>
                            <a:ext cx="66754" cy="316706"/>
                          </a:xfrm>
                          <a:prstGeom prst="rect">
                            <a:avLst/>
                          </a:prstGeom>
                          <a:ln>
                            <a:noFill/>
                          </a:ln>
                        </wps:spPr>
                        <wps:txbx>
                          <w:txbxContent>
                            <w:p w14:paraId="142C3544" w14:textId="77777777" w:rsidR="00B42512" w:rsidRDefault="00177938">
                              <w:pPr>
                                <w:spacing w:after="160" w:line="259" w:lineRule="auto"/>
                                <w:ind w:left="0" w:right="0" w:firstLine="0"/>
                                <w:jc w:val="left"/>
                              </w:pPr>
                              <w:r>
                                <w:rPr>
                                  <w:rFonts w:ascii="Calibri" w:eastAsia="Calibri" w:hAnsi="Calibri" w:cs="Calibri"/>
                                  <w:color w:val="316190"/>
                                  <w:sz w:val="32"/>
                                </w:rPr>
                                <w:t xml:space="preserve"> </w:t>
                              </w:r>
                            </w:p>
                          </w:txbxContent>
                        </wps:txbx>
                        <wps:bodyPr horzOverflow="overflow" vert="horz" lIns="0" tIns="0" rIns="0" bIns="0" rtlCol="0">
                          <a:noAutofit/>
                        </wps:bodyPr>
                      </wps:wsp>
                      <wps:wsp>
                        <wps:cNvPr id="58" name="Rectangle 58"/>
                        <wps:cNvSpPr/>
                        <wps:spPr>
                          <a:xfrm>
                            <a:off x="0" y="1042095"/>
                            <a:ext cx="1206218" cy="217736"/>
                          </a:xfrm>
                          <a:prstGeom prst="rect">
                            <a:avLst/>
                          </a:prstGeom>
                          <a:ln>
                            <a:noFill/>
                          </a:ln>
                        </wps:spPr>
                        <wps:txbx>
                          <w:txbxContent>
                            <w:p w14:paraId="6029A3D1" w14:textId="77777777" w:rsidR="00B42512" w:rsidRDefault="00177938">
                              <w:pPr>
                                <w:spacing w:after="160" w:line="259" w:lineRule="auto"/>
                                <w:ind w:left="0" w:right="0" w:firstLine="0"/>
                                <w:jc w:val="left"/>
                              </w:pPr>
                              <w:r>
                                <w:rPr>
                                  <w:rFonts w:ascii="Calibri" w:eastAsia="Calibri" w:hAnsi="Calibri" w:cs="Calibri"/>
                                  <w:color w:val="316190"/>
                                  <w:w w:val="108"/>
                                </w:rPr>
                                <w:t>Student</w:t>
                              </w:r>
                              <w:r>
                                <w:rPr>
                                  <w:rFonts w:ascii="Calibri" w:eastAsia="Calibri" w:hAnsi="Calibri" w:cs="Calibri"/>
                                  <w:color w:val="316190"/>
                                  <w:spacing w:val="5"/>
                                  <w:w w:val="108"/>
                                </w:rPr>
                                <w:t xml:space="preserve"> </w:t>
                              </w:r>
                              <w:r>
                                <w:rPr>
                                  <w:rFonts w:ascii="Calibri" w:eastAsia="Calibri" w:hAnsi="Calibri" w:cs="Calibri"/>
                                  <w:color w:val="316190"/>
                                  <w:w w:val="108"/>
                                </w:rPr>
                                <w:t>Works</w:t>
                              </w:r>
                            </w:p>
                          </w:txbxContent>
                        </wps:txbx>
                        <wps:bodyPr horzOverflow="overflow" vert="horz" lIns="0" tIns="0" rIns="0" bIns="0" rtlCol="0">
                          <a:noAutofit/>
                        </wps:bodyPr>
                      </wps:wsp>
                      <wps:wsp>
                        <wps:cNvPr id="59" name="Rectangle 59"/>
                        <wps:cNvSpPr/>
                        <wps:spPr>
                          <a:xfrm>
                            <a:off x="906931" y="1042095"/>
                            <a:ext cx="45893" cy="217736"/>
                          </a:xfrm>
                          <a:prstGeom prst="rect">
                            <a:avLst/>
                          </a:prstGeom>
                          <a:ln>
                            <a:noFill/>
                          </a:ln>
                        </wps:spPr>
                        <wps:txbx>
                          <w:txbxContent>
                            <w:p w14:paraId="6634ED21" w14:textId="77777777" w:rsidR="00B42512" w:rsidRDefault="00177938">
                              <w:pPr>
                                <w:spacing w:after="160" w:line="259" w:lineRule="auto"/>
                                <w:ind w:left="0" w:right="0" w:firstLine="0"/>
                                <w:jc w:val="left"/>
                              </w:pPr>
                              <w:hyperlink r:id="rId8">
                                <w:r>
                                  <w:rPr>
                                    <w:rFonts w:ascii="Calibri" w:eastAsia="Calibri" w:hAnsi="Calibri" w:cs="Calibri"/>
                                    <w:color w:val="316190"/>
                                  </w:rPr>
                                  <w:t xml:space="preserve"> </w:t>
                                </w:r>
                              </w:hyperlink>
                            </w:p>
                          </w:txbxContent>
                        </wps:txbx>
                        <wps:bodyPr horzOverflow="overflow" vert="horz" lIns="0" tIns="0" rIns="0" bIns="0" rtlCol="0">
                          <a:noAutofit/>
                        </wps:bodyPr>
                      </wps:wsp>
                      <wps:wsp>
                        <wps:cNvPr id="60" name="Rectangle 60"/>
                        <wps:cNvSpPr/>
                        <wps:spPr>
                          <a:xfrm>
                            <a:off x="5088006" y="1042095"/>
                            <a:ext cx="1136359" cy="217736"/>
                          </a:xfrm>
                          <a:prstGeom prst="rect">
                            <a:avLst/>
                          </a:prstGeom>
                          <a:ln>
                            <a:noFill/>
                          </a:ln>
                        </wps:spPr>
                        <wps:txbx>
                          <w:txbxContent>
                            <w:p w14:paraId="3BEA5811" w14:textId="77777777" w:rsidR="00B42512" w:rsidRDefault="00177938">
                              <w:pPr>
                                <w:spacing w:after="160" w:line="259" w:lineRule="auto"/>
                                <w:ind w:left="0" w:right="0" w:firstLine="0"/>
                                <w:jc w:val="left"/>
                              </w:pPr>
                              <w:r>
                                <w:rPr>
                                  <w:rFonts w:ascii="Calibri" w:eastAsia="Calibri" w:hAnsi="Calibri" w:cs="Calibri"/>
                                  <w:color w:val="316190"/>
                                  <w:w w:val="112"/>
                                </w:rPr>
                                <w:t>ILR</w:t>
                              </w:r>
                              <w:r>
                                <w:rPr>
                                  <w:rFonts w:ascii="Calibri" w:eastAsia="Calibri" w:hAnsi="Calibri" w:cs="Calibri"/>
                                  <w:color w:val="316190"/>
                                  <w:spacing w:val="5"/>
                                  <w:w w:val="112"/>
                                </w:rPr>
                                <w:t xml:space="preserve"> </w:t>
                              </w:r>
                              <w:r>
                                <w:rPr>
                                  <w:rFonts w:ascii="Calibri" w:eastAsia="Calibri" w:hAnsi="Calibri" w:cs="Calibri"/>
                                  <w:color w:val="316190"/>
                                  <w:w w:val="112"/>
                                </w:rPr>
                                <w:t>Collection</w:t>
                              </w:r>
                            </w:p>
                          </w:txbxContent>
                        </wps:txbx>
                        <wps:bodyPr horzOverflow="overflow" vert="horz" lIns="0" tIns="0" rIns="0" bIns="0" rtlCol="0">
                          <a:noAutofit/>
                        </wps:bodyPr>
                      </wps:wsp>
                      <wps:wsp>
                        <wps:cNvPr id="61" name="Rectangle 61"/>
                        <wps:cNvSpPr/>
                        <wps:spPr>
                          <a:xfrm>
                            <a:off x="5942411" y="1042095"/>
                            <a:ext cx="45894" cy="217736"/>
                          </a:xfrm>
                          <a:prstGeom prst="rect">
                            <a:avLst/>
                          </a:prstGeom>
                          <a:ln>
                            <a:noFill/>
                          </a:ln>
                        </wps:spPr>
                        <wps:txbx>
                          <w:txbxContent>
                            <w:p w14:paraId="6BFD70F0" w14:textId="77777777" w:rsidR="00B42512" w:rsidRDefault="00177938">
                              <w:pPr>
                                <w:spacing w:after="160" w:line="259" w:lineRule="auto"/>
                                <w:ind w:left="0" w:right="0" w:firstLine="0"/>
                                <w:jc w:val="left"/>
                              </w:pPr>
                              <w:hyperlink r:id="rId9">
                                <w:r>
                                  <w:rPr>
                                    <w:rFonts w:ascii="Calibri" w:eastAsia="Calibri" w:hAnsi="Calibri" w:cs="Calibri"/>
                                    <w:color w:val="316190"/>
                                  </w:rPr>
                                  <w:t xml:space="preserve"> </w:t>
                                </w:r>
                              </w:hyperlink>
                            </w:p>
                          </w:txbxContent>
                        </wps:txbx>
                        <wps:bodyPr horzOverflow="overflow" vert="horz" lIns="0" tIns="0" rIns="0" bIns="0" rtlCol="0">
                          <a:noAutofit/>
                        </wps:bodyPr>
                      </wps:wsp>
                    </wpg:wgp>
                  </a:graphicData>
                </a:graphic>
              </wp:inline>
            </w:drawing>
          </mc:Choice>
          <mc:Fallback xmlns:a="http://schemas.openxmlformats.org/drawingml/2006/main">
            <w:pict>
              <v:group id="Group 5975" style="width:472.096pt;height:94.9454pt;mso-position-horizontal-relative:char;mso-position-vertical-relative:line" coordsize="59956,12058">
                <v:shape id="Shape 7499" style="position:absolute;width:59436;height:95;left:0;top:8953;" coordsize="5943600,9525" path="m0,0l5943600,0l5943600,9525l0,9525l0,0">
                  <v:stroke weight="0pt" endcap="flat" joinstyle="miter" miterlimit="10" on="false" color="#000000" opacity="0"/>
                  <v:fill on="true" color="#b3b4b6"/>
                </v:shape>
                <v:shape id="Picture 9" style="position:absolute;width:22008;height:6858;left:0;top:0;" filled="f">
                  <v:imagedata r:id="rId13"/>
                </v:shape>
                <v:rect id="Rectangle 11" style="position:absolute;width:24025;height:2177;left:41732;top:2642;" filled="f" stroked="f">
                  <v:textbox inset="0,0,0,0">
                    <w:txbxContent>
                      <w:p>
                        <w:pPr>
                          <w:spacing w:before="0" w:after="160" w:line="259" w:lineRule="auto"/>
                          <w:ind w:left="0" w:right="0" w:firstLine="0"/>
                          <w:jc w:val="left"/>
                        </w:pPr>
                        <w:r>
                          <w:rPr>
                            <w:rFonts w:cs="Calibri" w:hAnsi="Calibri" w:eastAsia="Calibri" w:ascii="Calibri"/>
                            <w:w w:val="111"/>
                            <w:sz w:val="22"/>
                          </w:rPr>
                          <w:t xml:space="preserve">Cornell</w:t>
                        </w:r>
                        <w:r>
                          <w:rPr>
                            <w:rFonts w:cs="Calibri" w:hAnsi="Calibri" w:eastAsia="Calibri" w:ascii="Calibri"/>
                            <w:spacing w:val="5"/>
                            <w:w w:val="111"/>
                            <w:sz w:val="22"/>
                          </w:rPr>
                          <w:t xml:space="preserve"> </w:t>
                        </w:r>
                        <w:r>
                          <w:rPr>
                            <w:rFonts w:cs="Calibri" w:hAnsi="Calibri" w:eastAsia="Calibri" w:ascii="Calibri"/>
                            <w:w w:val="111"/>
                            <w:sz w:val="22"/>
                          </w:rPr>
                          <w:t xml:space="preserve">University</w:t>
                        </w:r>
                        <w:r>
                          <w:rPr>
                            <w:rFonts w:cs="Calibri" w:hAnsi="Calibri" w:eastAsia="Calibri" w:ascii="Calibri"/>
                            <w:spacing w:val="5"/>
                            <w:w w:val="111"/>
                            <w:sz w:val="22"/>
                          </w:rPr>
                          <w:t xml:space="preserve"> </w:t>
                        </w:r>
                        <w:r>
                          <w:rPr>
                            <w:rFonts w:cs="Calibri" w:hAnsi="Calibri" w:eastAsia="Calibri" w:ascii="Calibri"/>
                            <w:w w:val="111"/>
                            <w:sz w:val="22"/>
                          </w:rPr>
                          <w:t xml:space="preserve">ILR</w:t>
                        </w:r>
                        <w:r>
                          <w:rPr>
                            <w:rFonts w:cs="Calibri" w:hAnsi="Calibri" w:eastAsia="Calibri" w:ascii="Calibri"/>
                            <w:spacing w:val="5"/>
                            <w:w w:val="111"/>
                            <w:sz w:val="22"/>
                          </w:rPr>
                          <w:t xml:space="preserve"> </w:t>
                        </w:r>
                        <w:r>
                          <w:rPr>
                            <w:rFonts w:cs="Calibri" w:hAnsi="Calibri" w:eastAsia="Calibri" w:ascii="Calibri"/>
                            <w:w w:val="111"/>
                            <w:sz w:val="22"/>
                          </w:rPr>
                          <w:t xml:space="preserve">School</w:t>
                        </w:r>
                        <w:r>
                          <w:rPr>
                            <w:rFonts w:cs="Calibri" w:hAnsi="Calibri" w:eastAsia="Calibri" w:ascii="Calibri"/>
                            <w:spacing w:val="5"/>
                            <w:w w:val="111"/>
                            <w:sz w:val="22"/>
                          </w:rPr>
                          <w:t xml:space="preserve"> </w:t>
                        </w:r>
                      </w:p>
                    </w:txbxContent>
                  </v:textbox>
                </v:rect>
                <v:rect id="Rectangle 56" style="position:absolute;width:26322;height:3167;left:39662;top:4841;" filled="f" stroked="f">
                  <v:textbox inset="0,0,0,0">
                    <w:txbxContent>
                      <w:p>
                        <w:pPr>
                          <w:spacing w:before="0" w:after="160" w:line="259" w:lineRule="auto"/>
                          <w:ind w:left="0" w:right="0" w:firstLine="0"/>
                          <w:jc w:val="left"/>
                        </w:pPr>
                        <w:r>
                          <w:rPr>
                            <w:rFonts w:cs="Calibri" w:hAnsi="Calibri" w:eastAsia="Calibri" w:ascii="Calibri"/>
                            <w:color w:val="316190"/>
                            <w:w w:val="112"/>
                            <w:sz w:val="32"/>
                          </w:rPr>
                          <w:t xml:space="preserve">DigitalCommons@ILR</w:t>
                        </w:r>
                      </w:p>
                    </w:txbxContent>
                  </v:textbox>
                </v:rect>
                <v:rect id="Rectangle 57" style="position:absolute;width:667;height:3167;left:59454;top:4841;" filled="f" stroked="f">
                  <v:textbox inset="0,0,0,0">
                    <w:txbxContent>
                      <w:p>
                        <w:pPr>
                          <w:spacing w:before="0" w:after="160" w:line="259" w:lineRule="auto"/>
                          <w:ind w:left="0" w:right="0" w:firstLine="0"/>
                          <w:jc w:val="left"/>
                        </w:pPr>
                        <w:r>
                          <w:rPr>
                            <w:rFonts w:cs="Calibri" w:hAnsi="Calibri" w:eastAsia="Calibri" w:ascii="Calibri"/>
                            <w:color w:val="316190"/>
                            <w:sz w:val="32"/>
                          </w:rPr>
                          <w:t xml:space="preserve"> </w:t>
                        </w:r>
                      </w:p>
                    </w:txbxContent>
                  </v:textbox>
                </v:rect>
                <v:rect id="Rectangle 58" style="position:absolute;width:12062;height:2177;left:0;top:10420;" filled="f" stroked="f">
                  <v:textbox inset="0,0,0,0">
                    <w:txbxContent>
                      <w:p>
                        <w:pPr>
                          <w:spacing w:before="0" w:after="160" w:line="259" w:lineRule="auto"/>
                          <w:ind w:left="0" w:right="0" w:firstLine="0"/>
                          <w:jc w:val="left"/>
                        </w:pPr>
                        <w:r>
                          <w:rPr>
                            <w:rFonts w:cs="Calibri" w:hAnsi="Calibri" w:eastAsia="Calibri" w:ascii="Calibri"/>
                            <w:color w:val="316190"/>
                            <w:w w:val="108"/>
                            <w:sz w:val="22"/>
                          </w:rPr>
                          <w:t xml:space="preserve">Student</w:t>
                        </w:r>
                        <w:r>
                          <w:rPr>
                            <w:rFonts w:cs="Calibri" w:hAnsi="Calibri" w:eastAsia="Calibri" w:ascii="Calibri"/>
                            <w:color w:val="316190"/>
                            <w:spacing w:val="5"/>
                            <w:w w:val="108"/>
                            <w:sz w:val="22"/>
                          </w:rPr>
                          <w:t xml:space="preserve"> </w:t>
                        </w:r>
                        <w:r>
                          <w:rPr>
                            <w:rFonts w:cs="Calibri" w:hAnsi="Calibri" w:eastAsia="Calibri" w:ascii="Calibri"/>
                            <w:color w:val="316190"/>
                            <w:w w:val="108"/>
                            <w:sz w:val="22"/>
                          </w:rPr>
                          <w:t xml:space="preserve">Works</w:t>
                        </w:r>
                      </w:p>
                    </w:txbxContent>
                  </v:textbox>
                </v:rect>
                <v:rect id="Rectangle 59" style="position:absolute;width:458;height:2177;left:9069;top:10420;" filled="f" stroked="f">
                  <v:textbox inset="0,0,0,0">
                    <w:txbxContent>
                      <w:p>
                        <w:pPr>
                          <w:spacing w:before="0" w:after="160" w:line="259" w:lineRule="auto"/>
                          <w:ind w:left="0" w:right="0" w:firstLine="0"/>
                          <w:jc w:val="left"/>
                        </w:pPr>
                        <w:hyperlink r:id="hyperlink48">
                          <w:r>
                            <w:rPr>
                              <w:rFonts w:cs="Calibri" w:hAnsi="Calibri" w:eastAsia="Calibri" w:ascii="Calibri"/>
                              <w:color w:val="316190"/>
                              <w:sz w:val="22"/>
                            </w:rPr>
                            <w:t xml:space="preserve"> </w:t>
                          </w:r>
                        </w:hyperlink>
                      </w:p>
                    </w:txbxContent>
                  </v:textbox>
                </v:rect>
                <v:rect id="Rectangle 60" style="position:absolute;width:11363;height:2177;left:50880;top:10420;" filled="f" stroked="f">
                  <v:textbox inset="0,0,0,0">
                    <w:txbxContent>
                      <w:p>
                        <w:pPr>
                          <w:spacing w:before="0" w:after="160" w:line="259" w:lineRule="auto"/>
                          <w:ind w:left="0" w:right="0" w:firstLine="0"/>
                          <w:jc w:val="left"/>
                        </w:pPr>
                        <w:r>
                          <w:rPr>
                            <w:rFonts w:cs="Calibri" w:hAnsi="Calibri" w:eastAsia="Calibri" w:ascii="Calibri"/>
                            <w:color w:val="316190"/>
                            <w:w w:val="112"/>
                            <w:sz w:val="22"/>
                          </w:rPr>
                          <w:t xml:space="preserve">ILR</w:t>
                        </w:r>
                        <w:r>
                          <w:rPr>
                            <w:rFonts w:cs="Calibri" w:hAnsi="Calibri" w:eastAsia="Calibri" w:ascii="Calibri"/>
                            <w:color w:val="316190"/>
                            <w:spacing w:val="5"/>
                            <w:w w:val="112"/>
                            <w:sz w:val="22"/>
                          </w:rPr>
                          <w:t xml:space="preserve"> </w:t>
                        </w:r>
                        <w:r>
                          <w:rPr>
                            <w:rFonts w:cs="Calibri" w:hAnsi="Calibri" w:eastAsia="Calibri" w:ascii="Calibri"/>
                            <w:color w:val="316190"/>
                            <w:w w:val="112"/>
                            <w:sz w:val="22"/>
                          </w:rPr>
                          <w:t xml:space="preserve">Collection</w:t>
                        </w:r>
                      </w:p>
                    </w:txbxContent>
                  </v:textbox>
                </v:rect>
                <v:rect id="Rectangle 61" style="position:absolute;width:458;height:2177;left:59424;top:10420;" filled="f" stroked="f">
                  <v:textbox inset="0,0,0,0">
                    <w:txbxContent>
                      <w:p>
                        <w:pPr>
                          <w:spacing w:before="0" w:after="160" w:line="259" w:lineRule="auto"/>
                          <w:ind w:left="0" w:right="0" w:firstLine="0"/>
                          <w:jc w:val="left"/>
                        </w:pPr>
                        <w:hyperlink r:id="hyperlink49">
                          <w:r>
                            <w:rPr>
                              <w:rFonts w:cs="Calibri" w:hAnsi="Calibri" w:eastAsia="Calibri" w:ascii="Calibri"/>
                              <w:color w:val="316190"/>
                              <w:sz w:val="22"/>
                            </w:rPr>
                            <w:t xml:space="preserve"> </w:t>
                          </w:r>
                        </w:hyperlink>
                      </w:p>
                    </w:txbxContent>
                  </v:textbox>
                </v:rect>
              </v:group>
            </w:pict>
          </mc:Fallback>
        </mc:AlternateContent>
      </w:r>
    </w:p>
    <w:p w14:paraId="4E789CEF" w14:textId="77777777" w:rsidR="00B42512" w:rsidRDefault="00177938">
      <w:pPr>
        <w:spacing w:after="256" w:line="259" w:lineRule="auto"/>
        <w:ind w:left="720" w:right="0" w:firstLine="0"/>
        <w:jc w:val="left"/>
      </w:pPr>
      <w:r>
        <w:rPr>
          <w:rFonts w:ascii="Calibri" w:eastAsia="Calibri" w:hAnsi="Calibri" w:cs="Calibri"/>
          <w:noProof/>
        </w:rPr>
        <mc:AlternateContent>
          <mc:Choice Requires="wpg">
            <w:drawing>
              <wp:inline distT="0" distB="0" distL="0" distR="0" wp14:anchorId="37461DC0" wp14:editId="17F02705">
                <wp:extent cx="5943600" cy="9525"/>
                <wp:effectExtent l="0" t="0" r="0" b="0"/>
                <wp:docPr id="5976" name="Group 5976"/>
                <wp:cNvGraphicFramePr/>
                <a:graphic xmlns:a="http://schemas.openxmlformats.org/drawingml/2006/main">
                  <a:graphicData uri="http://schemas.microsoft.com/office/word/2010/wordprocessingGroup">
                    <wpg:wgp>
                      <wpg:cNvGrpSpPr/>
                      <wpg:grpSpPr>
                        <a:xfrm>
                          <a:off x="0" y="0"/>
                          <a:ext cx="5943600" cy="9525"/>
                          <a:chOff x="0" y="0"/>
                          <a:chExt cx="5943600" cy="9525"/>
                        </a:xfrm>
                      </wpg:grpSpPr>
                      <wps:wsp>
                        <wps:cNvPr id="7519" name="Shape 7519"/>
                        <wps:cNvSpPr/>
                        <wps:spPr>
                          <a:xfrm>
                            <a:off x="0" y="0"/>
                            <a:ext cx="5943600" cy="9525"/>
                          </a:xfrm>
                          <a:custGeom>
                            <a:avLst/>
                            <a:gdLst/>
                            <a:ahLst/>
                            <a:cxnLst/>
                            <a:rect l="0" t="0" r="0" b="0"/>
                            <a:pathLst>
                              <a:path w="5943600" h="9525">
                                <a:moveTo>
                                  <a:pt x="0" y="0"/>
                                </a:moveTo>
                                <a:lnTo>
                                  <a:pt x="5943600" y="0"/>
                                </a:lnTo>
                                <a:lnTo>
                                  <a:pt x="5943600" y="9525"/>
                                </a:lnTo>
                                <a:lnTo>
                                  <a:pt x="0" y="9525"/>
                                </a:lnTo>
                                <a:lnTo>
                                  <a:pt x="0" y="0"/>
                                </a:lnTo>
                              </a:path>
                            </a:pathLst>
                          </a:custGeom>
                          <a:ln w="0" cap="flat">
                            <a:miter lim="127000"/>
                          </a:ln>
                        </wps:spPr>
                        <wps:style>
                          <a:lnRef idx="0">
                            <a:srgbClr val="000000">
                              <a:alpha val="0"/>
                            </a:srgbClr>
                          </a:lnRef>
                          <a:fillRef idx="1">
                            <a:srgbClr val="B3B4B6"/>
                          </a:fillRef>
                          <a:effectRef idx="0">
                            <a:scrgbClr r="0" g="0" b="0"/>
                          </a:effectRef>
                          <a:fontRef idx="none"/>
                        </wps:style>
                        <wps:bodyPr/>
                      </wps:wsp>
                    </wpg:wgp>
                  </a:graphicData>
                </a:graphic>
              </wp:inline>
            </w:drawing>
          </mc:Choice>
          <mc:Fallback xmlns:a="http://schemas.openxmlformats.org/drawingml/2006/main">
            <w:pict>
              <v:group id="Group 5976" style="width:468pt;height:0.75pt;mso-position-horizontal-relative:char;mso-position-vertical-relative:line" coordsize="59436,95">
                <v:shape id="Shape 7520" style="position:absolute;width:59436;height:95;left:0;top:0;" coordsize="5943600,9525" path="m0,0l5943600,0l5943600,9525l0,9525l0,0">
                  <v:stroke weight="0pt" endcap="flat" joinstyle="miter" miterlimit="10" on="false" color="#000000" opacity="0"/>
                  <v:fill on="true" color="#b3b4b6"/>
                </v:shape>
              </v:group>
            </w:pict>
          </mc:Fallback>
        </mc:AlternateContent>
      </w:r>
    </w:p>
    <w:p w14:paraId="042957A4" w14:textId="77777777" w:rsidR="00B42512" w:rsidRDefault="00177938">
      <w:pPr>
        <w:spacing w:after="365" w:line="259" w:lineRule="auto"/>
        <w:ind w:left="720" w:right="2893"/>
      </w:pPr>
      <w:r>
        <w:rPr>
          <w:rFonts w:ascii="Calibri" w:eastAsia="Calibri" w:hAnsi="Calibri" w:cs="Calibri"/>
        </w:rPr>
        <w:t xml:space="preserve">Spring 2014 </w:t>
      </w:r>
    </w:p>
    <w:p w14:paraId="4113E7C0" w14:textId="77777777" w:rsidR="00B42512" w:rsidRDefault="00177938">
      <w:pPr>
        <w:spacing w:after="74" w:line="295" w:lineRule="auto"/>
        <w:ind w:left="727" w:right="708" w:firstLine="0"/>
        <w:jc w:val="left"/>
      </w:pPr>
      <w:r>
        <w:rPr>
          <w:rFonts w:ascii="Calibri" w:eastAsia="Calibri" w:hAnsi="Calibri" w:cs="Calibri"/>
          <w:sz w:val="32"/>
        </w:rPr>
        <w:t xml:space="preserve">What are the Top Factors That Drive Employee Retention and are There Demographic (Gender, Generation, Ethnicity, Geography, </w:t>
      </w:r>
      <w:proofErr w:type="gramStart"/>
      <w:r>
        <w:rPr>
          <w:rFonts w:ascii="Calibri" w:eastAsia="Calibri" w:hAnsi="Calibri" w:cs="Calibri"/>
          <w:sz w:val="32"/>
        </w:rPr>
        <w:t>etc.)</w:t>
      </w:r>
      <w:proofErr w:type="gramEnd"/>
      <w:r>
        <w:rPr>
          <w:rFonts w:ascii="Calibri" w:eastAsia="Calibri" w:hAnsi="Calibri" w:cs="Calibri"/>
          <w:sz w:val="32"/>
        </w:rPr>
        <w:t xml:space="preserve"> Differences in These Factors? </w:t>
      </w:r>
    </w:p>
    <w:p w14:paraId="33AE7AEE" w14:textId="77777777" w:rsidR="00B42512" w:rsidRDefault="00177938">
      <w:pPr>
        <w:spacing w:after="0" w:line="259" w:lineRule="auto"/>
        <w:ind w:left="720" w:right="2893"/>
      </w:pPr>
      <w:r>
        <w:rPr>
          <w:rFonts w:ascii="Calibri" w:eastAsia="Calibri" w:hAnsi="Calibri" w:cs="Calibri"/>
        </w:rPr>
        <w:t xml:space="preserve">Marie Rose Muir </w:t>
      </w:r>
    </w:p>
    <w:p w14:paraId="47AECF8E" w14:textId="77777777" w:rsidR="00B42512" w:rsidRDefault="00177938">
      <w:pPr>
        <w:spacing w:after="220" w:line="252" w:lineRule="auto"/>
        <w:ind w:left="715" w:right="539" w:hanging="6"/>
        <w:jc w:val="left"/>
      </w:pPr>
      <w:r>
        <w:rPr>
          <w:rFonts w:ascii="Calibri" w:eastAsia="Calibri" w:hAnsi="Calibri" w:cs="Calibri"/>
          <w:sz w:val="20"/>
        </w:rPr>
        <w:t xml:space="preserve">Cornell University </w:t>
      </w:r>
    </w:p>
    <w:p w14:paraId="185D6549" w14:textId="77777777" w:rsidR="00B42512" w:rsidRDefault="00177938">
      <w:pPr>
        <w:spacing w:after="0" w:line="259" w:lineRule="auto"/>
        <w:ind w:left="720" w:right="2893"/>
      </w:pPr>
      <w:r>
        <w:rPr>
          <w:rFonts w:ascii="Calibri" w:eastAsia="Calibri" w:hAnsi="Calibri" w:cs="Calibri"/>
        </w:rPr>
        <w:t xml:space="preserve">Lin Li </w:t>
      </w:r>
    </w:p>
    <w:p w14:paraId="52036E2C" w14:textId="77777777" w:rsidR="00B42512" w:rsidRDefault="00177938">
      <w:pPr>
        <w:spacing w:after="4109" w:line="252" w:lineRule="auto"/>
        <w:ind w:left="715" w:right="539" w:hanging="6"/>
        <w:jc w:val="left"/>
      </w:pPr>
      <w:r>
        <w:rPr>
          <w:rFonts w:ascii="Calibri" w:eastAsia="Calibri" w:hAnsi="Calibri" w:cs="Calibri"/>
          <w:sz w:val="20"/>
        </w:rPr>
        <w:t xml:space="preserve">Cornell University </w:t>
      </w:r>
    </w:p>
    <w:p w14:paraId="68A660DA" w14:textId="77777777" w:rsidR="00B42512" w:rsidRDefault="00177938">
      <w:pPr>
        <w:spacing w:after="36" w:line="259" w:lineRule="auto"/>
        <w:ind w:left="720" w:right="2893"/>
      </w:pPr>
      <w:r>
        <w:rPr>
          <w:rFonts w:ascii="Calibri" w:eastAsia="Calibri" w:hAnsi="Calibri" w:cs="Calibri"/>
          <w:sz w:val="20"/>
        </w:rPr>
        <w:t>Follow this and additional wor</w:t>
      </w:r>
      <w:r>
        <w:rPr>
          <w:rFonts w:ascii="Calibri" w:eastAsia="Calibri" w:hAnsi="Calibri" w:cs="Calibri"/>
          <w:sz w:val="20"/>
        </w:rPr>
        <w:t xml:space="preserve">ks at: </w:t>
      </w:r>
      <w:hyperlink r:id="rId14">
        <w:r>
          <w:rPr>
            <w:rFonts w:ascii="Calibri" w:eastAsia="Calibri" w:hAnsi="Calibri" w:cs="Calibri"/>
            <w:color w:val="316190"/>
            <w:sz w:val="20"/>
          </w:rPr>
          <w:t xml:space="preserve">https://digitalcommons.ilr.cornell.edu/student </w:t>
        </w:r>
      </w:hyperlink>
      <w:r>
        <w:rPr>
          <w:rFonts w:ascii="Calibri" w:eastAsia="Calibri" w:hAnsi="Calibri" w:cs="Calibri"/>
        </w:rPr>
        <w:t xml:space="preserve">Thank you for downloading an article </w:t>
      </w:r>
      <w:r>
        <w:rPr>
          <w:rFonts w:ascii="Calibri" w:eastAsia="Calibri" w:hAnsi="Calibri" w:cs="Calibri"/>
        </w:rPr>
        <w:t xml:space="preserve">from </w:t>
      </w:r>
      <w:proofErr w:type="spellStart"/>
      <w:r>
        <w:rPr>
          <w:rFonts w:ascii="Calibri" w:eastAsia="Calibri" w:hAnsi="Calibri" w:cs="Calibri"/>
        </w:rPr>
        <w:t>DigitalCommons@ILR</w:t>
      </w:r>
      <w:proofErr w:type="spellEnd"/>
      <w:r>
        <w:rPr>
          <w:rFonts w:ascii="Calibri" w:eastAsia="Calibri" w:hAnsi="Calibri" w:cs="Calibri"/>
        </w:rPr>
        <w:t xml:space="preserve">. </w:t>
      </w:r>
      <w:hyperlink r:id="rId15">
        <w:r>
          <w:rPr>
            <w:rFonts w:ascii="Calibri" w:eastAsia="Calibri" w:hAnsi="Calibri" w:cs="Calibri"/>
            <w:color w:val="316190"/>
          </w:rPr>
          <w:t>Support this valuable resource today!</w:t>
        </w:r>
      </w:hyperlink>
      <w:r>
        <w:rPr>
          <w:rFonts w:ascii="Calibri" w:eastAsia="Calibri" w:hAnsi="Calibri" w:cs="Calibri"/>
          <w:color w:val="316190"/>
        </w:rPr>
        <w:t xml:space="preserve"> </w:t>
      </w:r>
    </w:p>
    <w:p w14:paraId="51DE875A" w14:textId="77777777" w:rsidR="00B42512" w:rsidRDefault="00177938">
      <w:pPr>
        <w:spacing w:after="7" w:line="259" w:lineRule="auto"/>
        <w:ind w:left="720" w:right="0" w:firstLine="0"/>
        <w:jc w:val="left"/>
      </w:pPr>
      <w:r>
        <w:rPr>
          <w:rFonts w:ascii="Calibri" w:eastAsia="Calibri" w:hAnsi="Calibri" w:cs="Calibri"/>
          <w:noProof/>
        </w:rPr>
        <mc:AlternateContent>
          <mc:Choice Requires="wpg">
            <w:drawing>
              <wp:inline distT="0" distB="0" distL="0" distR="0" wp14:anchorId="73159D3E" wp14:editId="1F3E36BB">
                <wp:extent cx="5943600" cy="9525"/>
                <wp:effectExtent l="0" t="0" r="0" b="0"/>
                <wp:docPr id="5977" name="Group 5977"/>
                <wp:cNvGraphicFramePr/>
                <a:graphic xmlns:a="http://schemas.openxmlformats.org/drawingml/2006/main">
                  <a:graphicData uri="http://schemas.microsoft.com/office/word/2010/wordprocessingGroup">
                    <wpg:wgp>
                      <wpg:cNvGrpSpPr/>
                      <wpg:grpSpPr>
                        <a:xfrm>
                          <a:off x="0" y="0"/>
                          <a:ext cx="5943600" cy="9525"/>
                          <a:chOff x="0" y="0"/>
                          <a:chExt cx="5943600" cy="9525"/>
                        </a:xfrm>
                      </wpg:grpSpPr>
                      <wps:wsp>
                        <wps:cNvPr id="7521" name="Shape 7521"/>
                        <wps:cNvSpPr/>
                        <wps:spPr>
                          <a:xfrm>
                            <a:off x="0" y="0"/>
                            <a:ext cx="5943600" cy="9525"/>
                          </a:xfrm>
                          <a:custGeom>
                            <a:avLst/>
                            <a:gdLst/>
                            <a:ahLst/>
                            <a:cxnLst/>
                            <a:rect l="0" t="0" r="0" b="0"/>
                            <a:pathLst>
                              <a:path w="5943600" h="9525">
                                <a:moveTo>
                                  <a:pt x="0" y="0"/>
                                </a:moveTo>
                                <a:lnTo>
                                  <a:pt x="5943600" y="0"/>
                                </a:lnTo>
                                <a:lnTo>
                                  <a:pt x="5943600" y="9525"/>
                                </a:lnTo>
                                <a:lnTo>
                                  <a:pt x="0" y="9525"/>
                                </a:lnTo>
                                <a:lnTo>
                                  <a:pt x="0" y="0"/>
                                </a:lnTo>
                              </a:path>
                            </a:pathLst>
                          </a:custGeom>
                          <a:ln w="0" cap="flat">
                            <a:miter lim="127000"/>
                          </a:ln>
                        </wps:spPr>
                        <wps:style>
                          <a:lnRef idx="0">
                            <a:srgbClr val="000000">
                              <a:alpha val="0"/>
                            </a:srgbClr>
                          </a:lnRef>
                          <a:fillRef idx="1">
                            <a:srgbClr val="B3B4B6"/>
                          </a:fillRef>
                          <a:effectRef idx="0">
                            <a:scrgbClr r="0" g="0" b="0"/>
                          </a:effectRef>
                          <a:fontRef idx="none"/>
                        </wps:style>
                        <wps:bodyPr/>
                      </wps:wsp>
                    </wpg:wgp>
                  </a:graphicData>
                </a:graphic>
              </wp:inline>
            </w:drawing>
          </mc:Choice>
          <mc:Fallback xmlns:a="http://schemas.openxmlformats.org/drawingml/2006/main">
            <w:pict>
              <v:group id="Group 5977" style="width:468pt;height:0.75pt;mso-position-horizontal-relative:char;mso-position-vertical-relative:line" coordsize="59436,95">
                <v:shape id="Shape 7522" style="position:absolute;width:59436;height:95;left:0;top:0;" coordsize="5943600,9525" path="m0,0l5943600,0l5943600,9525l0,9525l0,0">
                  <v:stroke weight="0pt" endcap="flat" joinstyle="miter" miterlimit="10" on="false" color="#000000" opacity="0"/>
                  <v:fill on="true" color="#b3b4b6"/>
                </v:shape>
              </v:group>
            </w:pict>
          </mc:Fallback>
        </mc:AlternateContent>
      </w:r>
    </w:p>
    <w:p w14:paraId="60FB60B5" w14:textId="77777777" w:rsidR="00B42512" w:rsidRDefault="00177938">
      <w:pPr>
        <w:spacing w:after="225" w:line="246" w:lineRule="auto"/>
        <w:ind w:left="715" w:right="891"/>
        <w:jc w:val="left"/>
      </w:pPr>
      <w:r>
        <w:rPr>
          <w:rFonts w:ascii="Calibri" w:eastAsia="Calibri" w:hAnsi="Calibri" w:cs="Calibri"/>
          <w:sz w:val="18"/>
        </w:rPr>
        <w:t xml:space="preserve">This Article is brought to you for free and open access by the ILR Collection at </w:t>
      </w:r>
      <w:proofErr w:type="spellStart"/>
      <w:r>
        <w:rPr>
          <w:rFonts w:ascii="Calibri" w:eastAsia="Calibri" w:hAnsi="Calibri" w:cs="Calibri"/>
          <w:sz w:val="18"/>
        </w:rPr>
        <w:t>DigitalCommons@ILR</w:t>
      </w:r>
      <w:proofErr w:type="spellEnd"/>
      <w:r>
        <w:rPr>
          <w:rFonts w:ascii="Calibri" w:eastAsia="Calibri" w:hAnsi="Calibri" w:cs="Calibri"/>
          <w:sz w:val="18"/>
        </w:rPr>
        <w:t xml:space="preserve">. It has been accepted for inclusion in Student Works by an authorized administrator of </w:t>
      </w:r>
      <w:proofErr w:type="spellStart"/>
      <w:r>
        <w:rPr>
          <w:rFonts w:ascii="Calibri" w:eastAsia="Calibri" w:hAnsi="Calibri" w:cs="Calibri"/>
          <w:sz w:val="18"/>
        </w:rPr>
        <w:t>DigitalCommons@ILR</w:t>
      </w:r>
      <w:proofErr w:type="spellEnd"/>
      <w:r>
        <w:rPr>
          <w:rFonts w:ascii="Calibri" w:eastAsia="Calibri" w:hAnsi="Calibri" w:cs="Calibri"/>
          <w:sz w:val="18"/>
        </w:rPr>
        <w:t xml:space="preserve">. For more information, please contact </w:t>
      </w:r>
      <w:r>
        <w:rPr>
          <w:rFonts w:ascii="Calibri" w:eastAsia="Calibri" w:hAnsi="Calibri" w:cs="Calibri"/>
          <w:color w:val="316190"/>
          <w:sz w:val="18"/>
        </w:rPr>
        <w:t>catherwood-d</w:t>
      </w:r>
      <w:r>
        <w:rPr>
          <w:rFonts w:ascii="Calibri" w:eastAsia="Calibri" w:hAnsi="Calibri" w:cs="Calibri"/>
          <w:color w:val="316190"/>
          <w:sz w:val="18"/>
        </w:rPr>
        <w:t>ig@cornell.edu</w:t>
      </w:r>
      <w:r>
        <w:rPr>
          <w:rFonts w:ascii="Calibri" w:eastAsia="Calibri" w:hAnsi="Calibri" w:cs="Calibri"/>
          <w:sz w:val="18"/>
        </w:rPr>
        <w:t xml:space="preserve">. </w:t>
      </w:r>
    </w:p>
    <w:p w14:paraId="26B9F7DE" w14:textId="77777777" w:rsidR="00B42512" w:rsidRDefault="00177938">
      <w:pPr>
        <w:spacing w:after="225" w:line="246" w:lineRule="auto"/>
        <w:ind w:left="715" w:right="891"/>
        <w:jc w:val="left"/>
      </w:pPr>
      <w:r>
        <w:rPr>
          <w:rFonts w:ascii="Calibri" w:eastAsia="Calibri" w:hAnsi="Calibri" w:cs="Calibri"/>
          <w:sz w:val="18"/>
        </w:rPr>
        <w:t xml:space="preserve">If you have a disability and are having trouble accessing information on this website or need materials in an alternate format, contact </w:t>
      </w:r>
      <w:r>
        <w:rPr>
          <w:rFonts w:ascii="Calibri" w:eastAsia="Calibri" w:hAnsi="Calibri" w:cs="Calibri"/>
          <w:color w:val="316190"/>
          <w:sz w:val="18"/>
        </w:rPr>
        <w:t>web-accessibility@cornell.edu</w:t>
      </w:r>
      <w:r>
        <w:rPr>
          <w:rFonts w:ascii="Calibri" w:eastAsia="Calibri" w:hAnsi="Calibri" w:cs="Calibri"/>
          <w:sz w:val="18"/>
        </w:rPr>
        <w:t xml:space="preserve"> for assistance. </w:t>
      </w:r>
    </w:p>
    <w:p w14:paraId="4766B9A5" w14:textId="77777777" w:rsidR="00B42512" w:rsidRDefault="00177938">
      <w:pPr>
        <w:spacing w:after="233" w:line="259" w:lineRule="auto"/>
        <w:ind w:left="720" w:right="0" w:firstLine="0"/>
        <w:jc w:val="left"/>
      </w:pPr>
      <w:r>
        <w:rPr>
          <w:rFonts w:ascii="Calibri" w:eastAsia="Calibri" w:hAnsi="Calibri" w:cs="Calibri"/>
          <w:noProof/>
        </w:rPr>
        <mc:AlternateContent>
          <mc:Choice Requires="wpg">
            <w:drawing>
              <wp:inline distT="0" distB="0" distL="0" distR="0" wp14:anchorId="30C66A4B" wp14:editId="46E8883A">
                <wp:extent cx="5943600" cy="9525"/>
                <wp:effectExtent l="0" t="0" r="0" b="0"/>
                <wp:docPr id="5885" name="Group 5885"/>
                <wp:cNvGraphicFramePr/>
                <a:graphic xmlns:a="http://schemas.openxmlformats.org/drawingml/2006/main">
                  <a:graphicData uri="http://schemas.microsoft.com/office/word/2010/wordprocessingGroup">
                    <wpg:wgp>
                      <wpg:cNvGrpSpPr/>
                      <wpg:grpSpPr>
                        <a:xfrm>
                          <a:off x="0" y="0"/>
                          <a:ext cx="5943600" cy="9525"/>
                          <a:chOff x="0" y="0"/>
                          <a:chExt cx="5943600" cy="9525"/>
                        </a:xfrm>
                      </wpg:grpSpPr>
                      <wps:wsp>
                        <wps:cNvPr id="7523" name="Shape 7523"/>
                        <wps:cNvSpPr/>
                        <wps:spPr>
                          <a:xfrm>
                            <a:off x="0" y="0"/>
                            <a:ext cx="5943600" cy="9525"/>
                          </a:xfrm>
                          <a:custGeom>
                            <a:avLst/>
                            <a:gdLst/>
                            <a:ahLst/>
                            <a:cxnLst/>
                            <a:rect l="0" t="0" r="0" b="0"/>
                            <a:pathLst>
                              <a:path w="5943600" h="9525">
                                <a:moveTo>
                                  <a:pt x="0" y="0"/>
                                </a:moveTo>
                                <a:lnTo>
                                  <a:pt x="5943600" y="0"/>
                                </a:lnTo>
                                <a:lnTo>
                                  <a:pt x="5943600" y="9525"/>
                                </a:lnTo>
                                <a:lnTo>
                                  <a:pt x="0" y="9525"/>
                                </a:lnTo>
                                <a:lnTo>
                                  <a:pt x="0" y="0"/>
                                </a:lnTo>
                              </a:path>
                            </a:pathLst>
                          </a:custGeom>
                          <a:ln w="0" cap="flat">
                            <a:miter lim="127000"/>
                          </a:ln>
                        </wps:spPr>
                        <wps:style>
                          <a:lnRef idx="0">
                            <a:srgbClr val="000000">
                              <a:alpha val="0"/>
                            </a:srgbClr>
                          </a:lnRef>
                          <a:fillRef idx="1">
                            <a:srgbClr val="B3B4B6"/>
                          </a:fillRef>
                          <a:effectRef idx="0">
                            <a:scrgbClr r="0" g="0" b="0"/>
                          </a:effectRef>
                          <a:fontRef idx="none"/>
                        </wps:style>
                        <wps:bodyPr/>
                      </wps:wsp>
                    </wpg:wgp>
                  </a:graphicData>
                </a:graphic>
              </wp:inline>
            </w:drawing>
          </mc:Choice>
          <mc:Fallback xmlns:a="http://schemas.openxmlformats.org/drawingml/2006/main">
            <w:pict>
              <v:group id="Group 5885" style="width:468pt;height:0.75pt;mso-position-horizontal-relative:char;mso-position-vertical-relative:line" coordsize="59436,95">
                <v:shape id="Shape 7524" style="position:absolute;width:59436;height:95;left:0;top:0;" coordsize="5943600,9525" path="m0,0l5943600,0l5943600,9525l0,9525l0,0">
                  <v:stroke weight="0pt" endcap="flat" joinstyle="miter" miterlimit="10" on="false" color="#000000" opacity="0"/>
                  <v:fill on="true" color="#b3b4b6"/>
                </v:shape>
              </v:group>
            </w:pict>
          </mc:Fallback>
        </mc:AlternateContent>
      </w:r>
    </w:p>
    <w:p w14:paraId="4AECB90C" w14:textId="77777777" w:rsidR="00B42512" w:rsidRDefault="00177938">
      <w:pPr>
        <w:spacing w:after="202" w:line="250" w:lineRule="auto"/>
        <w:ind w:left="726" w:right="776" w:firstLine="0"/>
        <w:jc w:val="left"/>
      </w:pPr>
      <w:r>
        <w:rPr>
          <w:rFonts w:ascii="Calibri" w:eastAsia="Calibri" w:hAnsi="Calibri" w:cs="Calibri"/>
          <w:sz w:val="26"/>
        </w:rPr>
        <w:lastRenderedPageBreak/>
        <w:t>What are the Top Factors That Drive Employee Retention</w:t>
      </w:r>
      <w:r>
        <w:rPr>
          <w:rFonts w:ascii="Calibri" w:eastAsia="Calibri" w:hAnsi="Calibri" w:cs="Calibri"/>
          <w:sz w:val="26"/>
        </w:rPr>
        <w:t xml:space="preserve"> and are There Demographic (Gender, Generation, Ethnicity, Geography, </w:t>
      </w:r>
      <w:proofErr w:type="gramStart"/>
      <w:r>
        <w:rPr>
          <w:rFonts w:ascii="Calibri" w:eastAsia="Calibri" w:hAnsi="Calibri" w:cs="Calibri"/>
          <w:sz w:val="26"/>
        </w:rPr>
        <w:t>etc.)</w:t>
      </w:r>
      <w:proofErr w:type="gramEnd"/>
      <w:r>
        <w:rPr>
          <w:rFonts w:ascii="Calibri" w:eastAsia="Calibri" w:hAnsi="Calibri" w:cs="Calibri"/>
          <w:sz w:val="26"/>
        </w:rPr>
        <w:t xml:space="preserve"> Differences in These Factors? </w:t>
      </w:r>
    </w:p>
    <w:p w14:paraId="7683CD7C" w14:textId="77777777" w:rsidR="00B42512" w:rsidRDefault="00177938">
      <w:pPr>
        <w:spacing w:after="0" w:line="259" w:lineRule="auto"/>
        <w:ind w:left="720" w:right="2893"/>
      </w:pPr>
      <w:r>
        <w:rPr>
          <w:rFonts w:ascii="Calibri" w:eastAsia="Calibri" w:hAnsi="Calibri" w:cs="Calibri"/>
        </w:rPr>
        <w:t xml:space="preserve">Abstract </w:t>
      </w:r>
    </w:p>
    <w:p w14:paraId="396EFCDE" w14:textId="77777777" w:rsidR="00B42512" w:rsidRDefault="00177938">
      <w:pPr>
        <w:spacing w:after="220" w:line="252" w:lineRule="auto"/>
        <w:ind w:left="715" w:right="539" w:hanging="6"/>
        <w:jc w:val="left"/>
      </w:pPr>
      <w:r>
        <w:rPr>
          <w:rFonts w:ascii="Calibri" w:eastAsia="Calibri" w:hAnsi="Calibri" w:cs="Calibri"/>
          <w:sz w:val="20"/>
        </w:rPr>
        <w:t>By reviewing literature, we identified a theoretical framework with two levels of turnover-collective and individual turnover. Then we prob</w:t>
      </w:r>
      <w:r>
        <w:rPr>
          <w:rFonts w:ascii="Calibri" w:eastAsia="Calibri" w:hAnsi="Calibri" w:cs="Calibri"/>
          <w:sz w:val="20"/>
        </w:rPr>
        <w:t xml:space="preserve">e into each level and elaborate on the top factors in each domain. Definition, effects on turnover and retention strategies are included for each factor. </w:t>
      </w:r>
    </w:p>
    <w:p w14:paraId="71E79CFF" w14:textId="77777777" w:rsidR="00B42512" w:rsidRDefault="00177938">
      <w:pPr>
        <w:spacing w:after="0" w:line="259" w:lineRule="auto"/>
        <w:ind w:left="720" w:right="2893"/>
      </w:pPr>
      <w:r>
        <w:rPr>
          <w:rFonts w:ascii="Calibri" w:eastAsia="Calibri" w:hAnsi="Calibri" w:cs="Calibri"/>
        </w:rPr>
        <w:t xml:space="preserve">Keywords </w:t>
      </w:r>
    </w:p>
    <w:p w14:paraId="5D7EE65C" w14:textId="77777777" w:rsidR="00B42512" w:rsidRDefault="00177938">
      <w:pPr>
        <w:spacing w:after="220" w:line="252" w:lineRule="auto"/>
        <w:ind w:left="715" w:right="539" w:hanging="6"/>
        <w:jc w:val="left"/>
      </w:pPr>
      <w:r>
        <w:rPr>
          <w:rFonts w:ascii="Calibri" w:eastAsia="Calibri" w:hAnsi="Calibri" w:cs="Calibri"/>
          <w:sz w:val="20"/>
        </w:rPr>
        <w:t xml:space="preserve">human resources, retention, employee retention, demographic factors in retention </w:t>
      </w:r>
    </w:p>
    <w:p w14:paraId="68583DD9" w14:textId="77777777" w:rsidR="00B42512" w:rsidRDefault="00177938">
      <w:pPr>
        <w:spacing w:after="0" w:line="259" w:lineRule="auto"/>
        <w:ind w:left="720" w:right="2893"/>
      </w:pPr>
      <w:r>
        <w:rPr>
          <w:rFonts w:ascii="Calibri" w:eastAsia="Calibri" w:hAnsi="Calibri" w:cs="Calibri"/>
        </w:rPr>
        <w:t xml:space="preserve">Comments </w:t>
      </w:r>
    </w:p>
    <w:p w14:paraId="1C49934A" w14:textId="77777777" w:rsidR="00B42512" w:rsidRDefault="00177938">
      <w:pPr>
        <w:spacing w:after="6" w:line="252" w:lineRule="auto"/>
        <w:ind w:left="715" w:right="539" w:hanging="6"/>
        <w:jc w:val="left"/>
      </w:pPr>
      <w:r>
        <w:rPr>
          <w:rFonts w:ascii="Calibri" w:eastAsia="Calibri" w:hAnsi="Calibri" w:cs="Calibri"/>
          <w:sz w:val="20"/>
        </w:rPr>
        <w:t xml:space="preserve">Suggested Citation </w:t>
      </w:r>
    </w:p>
    <w:p w14:paraId="4DA42F1C" w14:textId="77777777" w:rsidR="00B42512" w:rsidRDefault="00177938">
      <w:pPr>
        <w:spacing w:after="6" w:line="252" w:lineRule="auto"/>
        <w:ind w:left="715" w:right="539" w:hanging="6"/>
        <w:jc w:val="left"/>
      </w:pPr>
      <w:r>
        <w:rPr>
          <w:rFonts w:ascii="Calibri" w:eastAsia="Calibri" w:hAnsi="Calibri" w:cs="Calibri"/>
          <w:sz w:val="20"/>
        </w:rPr>
        <w:t xml:space="preserve">Muir, M. R. (2014). What are the top factors that drive employee retention and are there </w:t>
      </w:r>
      <w:proofErr w:type="gramStart"/>
      <w:r>
        <w:rPr>
          <w:rFonts w:ascii="Calibri" w:eastAsia="Calibri" w:hAnsi="Calibri" w:cs="Calibri"/>
          <w:sz w:val="20"/>
        </w:rPr>
        <w:t>demographic</w:t>
      </w:r>
      <w:proofErr w:type="gramEnd"/>
      <w:r>
        <w:rPr>
          <w:rFonts w:ascii="Calibri" w:eastAsia="Calibri" w:hAnsi="Calibri" w:cs="Calibri"/>
          <w:sz w:val="20"/>
        </w:rPr>
        <w:t xml:space="preserve"> </w:t>
      </w:r>
    </w:p>
    <w:p w14:paraId="2EB02BFA" w14:textId="77777777" w:rsidR="00B42512" w:rsidRDefault="00177938">
      <w:pPr>
        <w:spacing w:after="174" w:line="252" w:lineRule="auto"/>
        <w:ind w:left="715" w:right="539" w:hanging="6"/>
        <w:jc w:val="left"/>
      </w:pPr>
      <w:r>
        <w:rPr>
          <w:rFonts w:ascii="Calibri" w:eastAsia="Calibri" w:hAnsi="Calibri" w:cs="Calibri"/>
          <w:sz w:val="20"/>
        </w:rPr>
        <w:t xml:space="preserve">(gender, generation, ethnicity, geography, etc.) differences in these factors? Retrieved [insert date] from Cornell University, ILR School site: </w:t>
      </w:r>
      <w:hyperlink r:id="rId16">
        <w:r>
          <w:rPr>
            <w:rFonts w:ascii="Calibri" w:eastAsia="Calibri" w:hAnsi="Calibri" w:cs="Calibri"/>
            <w:color w:val="316190"/>
            <w:sz w:val="20"/>
          </w:rPr>
          <w:t>http://digitalcommons.ilr.cornell.edu/stude</w:t>
        </w:r>
        <w:r>
          <w:rPr>
            <w:rFonts w:ascii="Calibri" w:eastAsia="Calibri" w:hAnsi="Calibri" w:cs="Calibri"/>
            <w:color w:val="316190"/>
            <w:sz w:val="20"/>
          </w:rPr>
          <w:t xml:space="preserve">nt/59 </w:t>
        </w:r>
      </w:hyperlink>
    </w:p>
    <w:p w14:paraId="3793D164" w14:textId="77777777" w:rsidR="00B42512" w:rsidRDefault="00177938">
      <w:pPr>
        <w:spacing w:after="6911" w:line="252" w:lineRule="auto"/>
        <w:ind w:left="715" w:right="6625" w:hanging="6"/>
        <w:jc w:val="left"/>
      </w:pPr>
      <w:r>
        <w:rPr>
          <w:rFonts w:ascii="Calibri" w:eastAsia="Calibri" w:hAnsi="Calibri" w:cs="Calibri"/>
          <w:sz w:val="20"/>
        </w:rPr>
        <w:t xml:space="preserve">Required Publisher Statement Copyright by the authors. </w:t>
      </w:r>
    </w:p>
    <w:p w14:paraId="3CD4AC51" w14:textId="77777777" w:rsidR="00B42512" w:rsidRDefault="00177938">
      <w:pPr>
        <w:spacing w:after="97" w:line="259" w:lineRule="auto"/>
        <w:ind w:left="720" w:right="0" w:firstLine="0"/>
        <w:jc w:val="left"/>
      </w:pPr>
      <w:r>
        <w:rPr>
          <w:rFonts w:ascii="Calibri" w:eastAsia="Calibri" w:hAnsi="Calibri" w:cs="Calibri"/>
          <w:noProof/>
        </w:rPr>
        <mc:AlternateContent>
          <mc:Choice Requires="wpg">
            <w:drawing>
              <wp:inline distT="0" distB="0" distL="0" distR="0" wp14:anchorId="61BEEFC3" wp14:editId="7500EBBF">
                <wp:extent cx="5943600" cy="9525"/>
                <wp:effectExtent l="0" t="0" r="0" b="0"/>
                <wp:docPr id="5886" name="Group 5886"/>
                <wp:cNvGraphicFramePr/>
                <a:graphic xmlns:a="http://schemas.openxmlformats.org/drawingml/2006/main">
                  <a:graphicData uri="http://schemas.microsoft.com/office/word/2010/wordprocessingGroup">
                    <wpg:wgp>
                      <wpg:cNvGrpSpPr/>
                      <wpg:grpSpPr>
                        <a:xfrm>
                          <a:off x="0" y="0"/>
                          <a:ext cx="5943600" cy="9525"/>
                          <a:chOff x="0" y="0"/>
                          <a:chExt cx="5943600" cy="9525"/>
                        </a:xfrm>
                      </wpg:grpSpPr>
                      <wps:wsp>
                        <wps:cNvPr id="7525" name="Shape 7525"/>
                        <wps:cNvSpPr/>
                        <wps:spPr>
                          <a:xfrm>
                            <a:off x="0" y="0"/>
                            <a:ext cx="5943600" cy="9525"/>
                          </a:xfrm>
                          <a:custGeom>
                            <a:avLst/>
                            <a:gdLst/>
                            <a:ahLst/>
                            <a:cxnLst/>
                            <a:rect l="0" t="0" r="0" b="0"/>
                            <a:pathLst>
                              <a:path w="5943600" h="9525">
                                <a:moveTo>
                                  <a:pt x="0" y="0"/>
                                </a:moveTo>
                                <a:lnTo>
                                  <a:pt x="5943600" y="0"/>
                                </a:lnTo>
                                <a:lnTo>
                                  <a:pt x="5943600" y="9525"/>
                                </a:lnTo>
                                <a:lnTo>
                                  <a:pt x="0" y="9525"/>
                                </a:lnTo>
                                <a:lnTo>
                                  <a:pt x="0" y="0"/>
                                </a:lnTo>
                              </a:path>
                            </a:pathLst>
                          </a:custGeom>
                          <a:ln w="0" cap="flat">
                            <a:miter lim="127000"/>
                          </a:ln>
                        </wps:spPr>
                        <wps:style>
                          <a:lnRef idx="0">
                            <a:srgbClr val="000000">
                              <a:alpha val="0"/>
                            </a:srgbClr>
                          </a:lnRef>
                          <a:fillRef idx="1">
                            <a:srgbClr val="B3B4B6"/>
                          </a:fillRef>
                          <a:effectRef idx="0">
                            <a:scrgbClr r="0" g="0" b="0"/>
                          </a:effectRef>
                          <a:fontRef idx="none"/>
                        </wps:style>
                        <wps:bodyPr/>
                      </wps:wsp>
                    </wpg:wgp>
                  </a:graphicData>
                </a:graphic>
              </wp:inline>
            </w:drawing>
          </mc:Choice>
          <mc:Fallback xmlns:a="http://schemas.openxmlformats.org/drawingml/2006/main">
            <w:pict>
              <v:group id="Group 5886" style="width:468pt;height:0.75pt;mso-position-horizontal-relative:char;mso-position-vertical-relative:line" coordsize="59436,95">
                <v:shape id="Shape 7526" style="position:absolute;width:59436;height:95;left:0;top:0;" coordsize="5943600,9525" path="m0,0l5943600,0l5943600,9525l0,9525l0,0">
                  <v:stroke weight="0pt" endcap="flat" joinstyle="miter" miterlimit="10" on="false" color="#000000" opacity="0"/>
                  <v:fill on="true" color="#b3b4b6"/>
                </v:shape>
              </v:group>
            </w:pict>
          </mc:Fallback>
        </mc:AlternateContent>
      </w:r>
    </w:p>
    <w:p w14:paraId="45E361BD" w14:textId="77777777" w:rsidR="00B42512" w:rsidRDefault="00177938">
      <w:pPr>
        <w:spacing w:after="0" w:line="259" w:lineRule="auto"/>
        <w:ind w:left="0" w:right="810" w:firstLine="0"/>
        <w:jc w:val="right"/>
      </w:pPr>
      <w:r>
        <w:rPr>
          <w:rFonts w:ascii="Calibri" w:eastAsia="Calibri" w:hAnsi="Calibri" w:cs="Calibri"/>
          <w:sz w:val="18"/>
        </w:rPr>
        <w:t xml:space="preserve">This article is available at </w:t>
      </w:r>
      <w:proofErr w:type="spellStart"/>
      <w:r>
        <w:rPr>
          <w:rFonts w:ascii="Calibri" w:eastAsia="Calibri" w:hAnsi="Calibri" w:cs="Calibri"/>
          <w:sz w:val="18"/>
        </w:rPr>
        <w:t>DigitalCommons@ILR</w:t>
      </w:r>
      <w:proofErr w:type="spellEnd"/>
      <w:r>
        <w:rPr>
          <w:rFonts w:ascii="Calibri" w:eastAsia="Calibri" w:hAnsi="Calibri" w:cs="Calibri"/>
          <w:sz w:val="18"/>
        </w:rPr>
        <w:t xml:space="preserve">: </w:t>
      </w:r>
      <w:hyperlink r:id="rId17">
        <w:r>
          <w:rPr>
            <w:rFonts w:ascii="Calibri" w:eastAsia="Calibri" w:hAnsi="Calibri" w:cs="Calibri"/>
            <w:color w:val="316190"/>
            <w:sz w:val="18"/>
          </w:rPr>
          <w:t xml:space="preserve">https://digitalcommons.ilr.cornell.edu/student/59 </w:t>
        </w:r>
      </w:hyperlink>
    </w:p>
    <w:p w14:paraId="3F295FFC" w14:textId="77777777" w:rsidR="00B42512" w:rsidRDefault="00177938">
      <w:pPr>
        <w:spacing w:after="45" w:line="259" w:lineRule="auto"/>
        <w:ind w:left="-5" w:right="0"/>
        <w:jc w:val="left"/>
      </w:pPr>
      <w:r>
        <w:rPr>
          <w:u w:val="single" w:color="000000"/>
        </w:rPr>
        <w:t>Marie Rose Muir &amp; Lin Li                                                                  Mar 7, 2014</w:t>
      </w:r>
      <w:r>
        <w:t xml:space="preserve">       </w:t>
      </w:r>
    </w:p>
    <w:p w14:paraId="31541599" w14:textId="77777777" w:rsidR="00B42512" w:rsidRDefault="00177938">
      <w:pPr>
        <w:spacing w:after="45" w:line="259" w:lineRule="auto"/>
        <w:ind w:left="0" w:right="0" w:firstLine="0"/>
        <w:jc w:val="left"/>
      </w:pPr>
      <w:r>
        <w:t xml:space="preserve"> </w:t>
      </w:r>
    </w:p>
    <w:p w14:paraId="01CD5A44" w14:textId="77777777" w:rsidR="00B42512" w:rsidRDefault="00177938">
      <w:pPr>
        <w:pStyle w:val="Heading1"/>
        <w:spacing w:after="44"/>
        <w:ind w:left="55" w:right="131"/>
      </w:pPr>
      <w:r>
        <w:rPr>
          <w:sz w:val="22"/>
        </w:rPr>
        <w:lastRenderedPageBreak/>
        <w:t>EXECUTIVE SUMMARY</w:t>
      </w:r>
    </w:p>
    <w:p w14:paraId="3E0C8159" w14:textId="77777777" w:rsidR="00B42512" w:rsidRDefault="00177938">
      <w:pPr>
        <w:spacing w:after="45" w:line="259" w:lineRule="auto"/>
        <w:ind w:left="4935" w:right="0" w:firstLine="0"/>
        <w:jc w:val="left"/>
      </w:pPr>
      <w:r>
        <w:t xml:space="preserve"> </w:t>
      </w:r>
    </w:p>
    <w:p w14:paraId="00CB1858" w14:textId="77777777" w:rsidR="00B42512" w:rsidRDefault="00177938">
      <w:pPr>
        <w:pStyle w:val="Heading2"/>
        <w:ind w:left="-5"/>
      </w:pPr>
      <w:r>
        <w:t xml:space="preserve">Research Question                                                         </w:t>
      </w:r>
      <w:r>
        <w:t xml:space="preserve">                 </w:t>
      </w:r>
      <w:r>
        <w:rPr>
          <w:u w:val="none"/>
        </w:rPr>
        <w:t xml:space="preserve"> </w:t>
      </w:r>
    </w:p>
    <w:p w14:paraId="0A718665" w14:textId="77777777" w:rsidR="00B42512" w:rsidRDefault="00177938">
      <w:pPr>
        <w:spacing w:after="0" w:line="300" w:lineRule="auto"/>
        <w:ind w:left="0" w:right="0" w:firstLine="0"/>
        <w:jc w:val="left"/>
      </w:pPr>
      <w:r>
        <w:rPr>
          <w:color w:val="1A1A1A"/>
        </w:rPr>
        <w:t xml:space="preserve">What are the top factors that drive employee retention and are there demographic (gender, generation, ethnicity, geography, etc.) differences in these factors, or are they consistent across all demographic groups? </w:t>
      </w:r>
      <w:r>
        <w:t xml:space="preserve"> </w:t>
      </w:r>
    </w:p>
    <w:p w14:paraId="403D7A6E" w14:textId="77777777" w:rsidR="00B42512" w:rsidRDefault="00177938">
      <w:pPr>
        <w:pStyle w:val="Heading2"/>
        <w:ind w:left="-5"/>
      </w:pPr>
      <w:r>
        <w:t xml:space="preserve">Overview             </w:t>
      </w:r>
      <w:r>
        <w:t xml:space="preserve">                                                                      </w:t>
      </w:r>
      <w:r>
        <w:rPr>
          <w:u w:val="none"/>
        </w:rPr>
        <w:t xml:space="preserve"> </w:t>
      </w:r>
    </w:p>
    <w:p w14:paraId="118E939C" w14:textId="77777777" w:rsidR="00B42512" w:rsidRDefault="00177938">
      <w:pPr>
        <w:ind w:left="-5" w:right="71"/>
      </w:pPr>
      <w:r>
        <w:t>By reviewing literature, we identified a theoretical framework with two levels of turnover-collective and individual turnover. Then we probe into each level and elaborate on the top factors in each domain. Definition, effects on turnover and retention stra</w:t>
      </w:r>
      <w:r>
        <w:t xml:space="preserve">tegies are included for each factor. </w:t>
      </w:r>
    </w:p>
    <w:p w14:paraId="25C187F6" w14:textId="77777777" w:rsidR="00B42512" w:rsidRDefault="00177938">
      <w:pPr>
        <w:spacing w:after="18" w:line="318" w:lineRule="auto"/>
        <w:ind w:left="-5" w:right="24"/>
        <w:jc w:val="left"/>
      </w:pPr>
      <w:r>
        <w:rPr>
          <w:b/>
          <w:u w:val="single" w:color="000000"/>
        </w:rPr>
        <w:t xml:space="preserve">Retention vs. Turnover-two sides of one coin?                                                    </w:t>
      </w:r>
      <w:r>
        <w:rPr>
          <w:b/>
        </w:rPr>
        <w:t xml:space="preserve"> </w:t>
      </w:r>
      <w:r>
        <w:t xml:space="preserve">Upon speaking with retention expert John </w:t>
      </w:r>
      <w:proofErr w:type="spellStart"/>
      <w:r>
        <w:t>Hausknecht</w:t>
      </w:r>
      <w:proofErr w:type="spellEnd"/>
      <w:r>
        <w:t xml:space="preserve"> at ILR school, by definition, retention can be viewed as logical inv</w:t>
      </w:r>
      <w:r>
        <w:t>erse of turnover as the behavior to stay rather than leave the organization. Retention and turnover metrics (Appendices A/B), however, are compliments rather than reverse. When benchmarking and analyzing metrics, human resources managers should keep in min</w:t>
      </w:r>
      <w:r>
        <w:t>d of the difference.</w:t>
      </w:r>
      <w:r>
        <w:rPr>
          <w:vertAlign w:val="superscript"/>
        </w:rPr>
        <w:t>1,2</w:t>
      </w:r>
      <w:r>
        <w:t xml:space="preserve">  </w:t>
      </w:r>
    </w:p>
    <w:p w14:paraId="0C89BC5E" w14:textId="77777777" w:rsidR="00B42512" w:rsidRDefault="00177938">
      <w:pPr>
        <w:ind w:left="-5" w:right="71"/>
      </w:pPr>
      <w:r>
        <w:rPr>
          <w:b/>
          <w:u w:val="single" w:color="000000"/>
        </w:rPr>
        <w:t xml:space="preserve">Collective &amp; Individual Turnover                                                                </w:t>
      </w:r>
      <w:r>
        <w:rPr>
          <w:b/>
        </w:rPr>
        <w:t xml:space="preserve"> </w:t>
      </w:r>
      <w:r>
        <w:t>Collective turnover encompasses turnover at any level higher than the individual, including group, unit and organization turnover.</w:t>
      </w:r>
      <w:r>
        <w:rPr>
          <w:vertAlign w:val="superscript"/>
        </w:rPr>
        <w:t xml:space="preserve"> </w:t>
      </w:r>
      <w:r>
        <w:t>Ra</w:t>
      </w:r>
      <w:r>
        <w:t>ther than an aggregate of individual turnover, collective turnover can be linked with variables that do not exist at individual level (e.g., group size, firm performance). Individual-level predictors of turnover can change, or even reverse at collective le</w:t>
      </w:r>
      <w:r>
        <w:t>vel.</w:t>
      </w:r>
      <w:r>
        <w:rPr>
          <w:vertAlign w:val="superscript"/>
        </w:rPr>
        <w:t xml:space="preserve"> 4 </w:t>
      </w:r>
      <w:r>
        <w:t xml:space="preserve">A framework explains collective turnover is attached as Appendix C.  </w:t>
      </w:r>
    </w:p>
    <w:p w14:paraId="1B0C0704" w14:textId="77777777" w:rsidR="00B42512" w:rsidRDefault="00177938">
      <w:pPr>
        <w:pStyle w:val="Heading2"/>
        <w:ind w:left="-5"/>
      </w:pPr>
      <w:r>
        <w:t xml:space="preserve">Retention Factors for Collective Turnover                                                        </w:t>
      </w:r>
      <w:r>
        <w:rPr>
          <w:u w:val="none"/>
        </w:rPr>
        <w:t xml:space="preserve"> </w:t>
      </w:r>
    </w:p>
    <w:p w14:paraId="3775E604" w14:textId="77777777" w:rsidR="00B42512" w:rsidRDefault="00177938">
      <w:pPr>
        <w:ind w:left="-5" w:right="71"/>
      </w:pPr>
      <w:r>
        <w:t xml:space="preserve">Among the antecedents of collective turnover, human systems/practices </w:t>
      </w:r>
      <w:proofErr w:type="gramStart"/>
      <w:r>
        <w:t>was</w:t>
      </w:r>
      <w:proofErr w:type="gramEnd"/>
      <w:r>
        <w:t xml:space="preserve"> found to have strongest correlation with collective turnover.</w:t>
      </w:r>
      <w:r>
        <w:rPr>
          <w:vertAlign w:val="superscript"/>
        </w:rPr>
        <w:t xml:space="preserve"> </w:t>
      </w:r>
      <w:r>
        <w:t>Within human systems/</w:t>
      </w:r>
      <w:r>
        <w:t>practices, internal mobility, high-commitment HR system and staffing selectivity were the most significant factors in place.</w:t>
      </w:r>
      <w:r>
        <w:rPr>
          <w:vertAlign w:val="superscript"/>
        </w:rPr>
        <w:t xml:space="preserve"> 5 </w:t>
      </w:r>
      <w:r>
        <w:t xml:space="preserve">Other retention factors include average age, tenure, female percentage, participation-enhancing work design, </w:t>
      </w:r>
      <w:proofErr w:type="spellStart"/>
      <w:r>
        <w:t>etc</w:t>
      </w:r>
      <w:proofErr w:type="spellEnd"/>
      <w:r>
        <w:t xml:space="preserve"> (Appendix D).  </w:t>
      </w:r>
    </w:p>
    <w:p w14:paraId="4105FED2" w14:textId="77777777" w:rsidR="00B42512" w:rsidRDefault="00177938">
      <w:pPr>
        <w:pStyle w:val="Heading3"/>
        <w:ind w:left="-5"/>
      </w:pPr>
      <w:r>
        <w:t xml:space="preserve">Internal Mobility </w:t>
      </w:r>
    </w:p>
    <w:p w14:paraId="1E0D9030" w14:textId="77777777" w:rsidR="00B42512" w:rsidRDefault="00177938">
      <w:pPr>
        <w:ind w:left="-5" w:right="71"/>
      </w:pPr>
      <w:r>
        <w:t>Internal mobility is defined as the extent to which an organization utilizes “a policy of staffing from within the organization”.</w:t>
      </w:r>
      <w:r>
        <w:rPr>
          <w:vertAlign w:val="superscript"/>
        </w:rPr>
        <w:t>5</w:t>
      </w:r>
      <w:r>
        <w:t xml:space="preserve"> Although internal mobility policies may reduce turnover generally, actual promotion rates prove to have st</w:t>
      </w:r>
      <w:r>
        <w:t xml:space="preserve">ronger effect on reducing turnover than perceived internal mobility. To enhance internal mobility, HR professionals should not solely rely on advertising of internal job vacancies. Talent management systems can match current employees to open roles across </w:t>
      </w:r>
      <w:r>
        <w:t>the organization based on skills, aspirations and performance, thus enabling the employer to proactively offer new roles to appropriate employees.</w:t>
      </w:r>
      <w:r>
        <w:rPr>
          <w:vertAlign w:val="superscript"/>
        </w:rPr>
        <w:t xml:space="preserve"> 7</w:t>
      </w:r>
      <w:r>
        <w:t xml:space="preserve"> However, given the substantial cost and scale, internal mobility should be viewed as long-term solutions ra</w:t>
      </w:r>
      <w:r>
        <w:t>ther than short-term remedies.</w:t>
      </w:r>
      <w:r>
        <w:rPr>
          <w:vertAlign w:val="superscript"/>
        </w:rPr>
        <w:t>5</w:t>
      </w:r>
      <w:r>
        <w:t xml:space="preserve"> </w:t>
      </w:r>
      <w:r>
        <w:rPr>
          <w:i/>
        </w:rPr>
        <w:t xml:space="preserve">High-commitment HR system </w:t>
      </w:r>
    </w:p>
    <w:p w14:paraId="0961495F" w14:textId="77777777" w:rsidR="00B42512" w:rsidRDefault="00177938">
      <w:pPr>
        <w:spacing w:after="27"/>
        <w:ind w:left="-5" w:right="71"/>
      </w:pPr>
      <w:r>
        <w:t xml:space="preserve">High-commitment HR system is defined as “HR systems designed to shape desired employee behaviors and attitudes by forming psychological links between organizational and employee goals”. </w:t>
      </w:r>
      <w:r>
        <w:rPr>
          <w:vertAlign w:val="superscript"/>
        </w:rPr>
        <w:t>5</w:t>
      </w:r>
      <w:r>
        <w:t xml:space="preserve"> Researche</w:t>
      </w:r>
      <w:r>
        <w:t>s have shown that employees’ commitment to the organization derives from their perceptions of the employers’ commitment to and support of them.</w:t>
      </w:r>
      <w:r>
        <w:rPr>
          <w:vertAlign w:val="superscript"/>
        </w:rPr>
        <w:t>8</w:t>
      </w:r>
      <w:r>
        <w:t xml:space="preserve"> Implementing high-commitment HR system requires more than a single practice. An organization must take the step</w:t>
      </w:r>
      <w:r>
        <w:t xml:space="preserve">s necessary to develop the perception of involvement among </w:t>
      </w:r>
      <w:proofErr w:type="gramStart"/>
      <w:r>
        <w:t>low and high level</w:t>
      </w:r>
      <w:proofErr w:type="gramEnd"/>
      <w:r>
        <w:t xml:space="preserve"> employees. Also, an organization should also build a </w:t>
      </w:r>
      <w:proofErr w:type="spellStart"/>
      <w:r>
        <w:t>mo</w:t>
      </w:r>
      <w:proofErr w:type="spellEnd"/>
      <w:r>
        <w:rPr>
          <w:i/>
        </w:rPr>
        <w:t xml:space="preserve"> </w:t>
      </w:r>
      <w:r>
        <w:t xml:space="preserve">re inclusive and less bureaucratic culture, since the process is likely to </w:t>
      </w:r>
      <w:proofErr w:type="gramStart"/>
      <w:r>
        <w:t>be  lengthy</w:t>
      </w:r>
      <w:proofErr w:type="gramEnd"/>
      <w:r>
        <w:t xml:space="preserve"> and even costly until the appropria</w:t>
      </w:r>
      <w:r>
        <w:t>te culture is achieved.</w:t>
      </w:r>
      <w:r>
        <w:rPr>
          <w:vertAlign w:val="superscript"/>
        </w:rPr>
        <w:t xml:space="preserve">9 </w:t>
      </w:r>
    </w:p>
    <w:p w14:paraId="7448835F" w14:textId="77777777" w:rsidR="00B42512" w:rsidRDefault="00177938">
      <w:pPr>
        <w:pStyle w:val="Heading3"/>
        <w:ind w:left="-5"/>
      </w:pPr>
      <w:r>
        <w:lastRenderedPageBreak/>
        <w:t xml:space="preserve">Staffing selectivity </w:t>
      </w:r>
    </w:p>
    <w:p w14:paraId="1CE4C6C1" w14:textId="77777777" w:rsidR="00B42512" w:rsidRDefault="00177938">
      <w:pPr>
        <w:ind w:left="-5" w:right="71"/>
      </w:pPr>
      <w:r>
        <w:t>Staffing selectivity is defined as the extent to which the organization hires a small proportion of applicants. When designing staffing strategy, HR professionals should be mindful to the fact that the sophis</w:t>
      </w:r>
      <w:r>
        <w:t>tication of selection system themselves shared only weak relationships with collective turnover. Faced with turnover problems and limited resources, managers should increase the quality and size of applicant pools rather than improve their selection instru</w:t>
      </w:r>
      <w:r>
        <w:t xml:space="preserve">ments. </w:t>
      </w:r>
      <w:r>
        <w:rPr>
          <w:vertAlign w:val="superscript"/>
        </w:rPr>
        <w:t>5</w:t>
      </w:r>
      <w:r>
        <w:t xml:space="preserve"> </w:t>
      </w:r>
    </w:p>
    <w:p w14:paraId="0FA99BAE" w14:textId="77777777" w:rsidR="00B42512" w:rsidRDefault="00177938">
      <w:pPr>
        <w:pStyle w:val="Heading2"/>
        <w:ind w:left="-5"/>
      </w:pPr>
      <w:r>
        <w:t xml:space="preserve">Retention Factors for Individual Turnover                                                       </w:t>
      </w:r>
      <w:r>
        <w:rPr>
          <w:b w:val="0"/>
          <w:u w:val="none"/>
        </w:rPr>
        <w:t xml:space="preserve"> </w:t>
      </w:r>
      <w:r>
        <w:rPr>
          <w:u w:val="none"/>
        </w:rPr>
        <w:t xml:space="preserve"> </w:t>
      </w:r>
      <w:r>
        <w:rPr>
          <w:b w:val="0"/>
        </w:rPr>
        <w:t>Demographic Differences</w:t>
      </w:r>
      <w:r>
        <w:rPr>
          <w:b w:val="0"/>
          <w:u w:val="none"/>
        </w:rPr>
        <w:t xml:space="preserve"> </w:t>
      </w:r>
    </w:p>
    <w:p w14:paraId="78C61336" w14:textId="77777777" w:rsidR="00B42512" w:rsidRDefault="00177938">
      <w:pPr>
        <w:ind w:left="-5" w:right="71"/>
      </w:pPr>
      <w:r>
        <w:t>Recent studies find that women and racial minorities have lower retention rates than white men</w:t>
      </w:r>
      <w:r>
        <w:rPr>
          <w:vertAlign w:val="superscript"/>
        </w:rPr>
        <w:t>6</w:t>
      </w:r>
      <w:r>
        <w:t>. Prior to analyzing the dem</w:t>
      </w:r>
      <w:r>
        <w:t>ographic disparities in retention, however, one must first understand the relationship between employee tenure and job retention. One of the most impactful influences on retention is position tenure: across all demographics, the more time one spends in a c</w:t>
      </w:r>
      <w:r>
        <w:t>ompany the lower the turnover is</w:t>
      </w:r>
      <w:r>
        <w:rPr>
          <w:vertAlign w:val="superscript"/>
        </w:rPr>
        <w:t>6</w:t>
      </w:r>
      <w:r>
        <w:t>. For this reason, retention efforts should be aimed towards newer employees across all demographic spreads. However, a greater percentage of minorities and women hold low-tenure positions meaning turnover is higher for the</w:t>
      </w:r>
      <w:r>
        <w:t>ir overall populations</w:t>
      </w:r>
      <w:r>
        <w:rPr>
          <w:vertAlign w:val="superscript"/>
        </w:rPr>
        <w:t>6</w:t>
      </w:r>
      <w:r>
        <w:t>. To view these trends graphically please refer to Appendix C</w:t>
      </w:r>
      <w:r>
        <w:rPr>
          <w:vertAlign w:val="superscript"/>
        </w:rPr>
        <w:t>6</w:t>
      </w:r>
      <w:r>
        <w:t>. Lower retention for minorities and women in these lower tenured positions are often related to poor socialization on the part of the company e.g. poor mentoring and rece</w:t>
      </w:r>
      <w:r>
        <w:t>iving less meaningful assignments</w:t>
      </w:r>
      <w:r>
        <w:rPr>
          <w:vertAlign w:val="superscript"/>
        </w:rPr>
        <w:t>6</w:t>
      </w:r>
      <w:r>
        <w:t xml:space="preserve">.  </w:t>
      </w:r>
    </w:p>
    <w:p w14:paraId="61DBF6E0" w14:textId="77777777" w:rsidR="00B42512" w:rsidRDefault="00177938">
      <w:pPr>
        <w:ind w:left="-5" w:right="71"/>
      </w:pPr>
      <w:r>
        <w:rPr>
          <w:i/>
        </w:rPr>
        <w:t>Gender</w:t>
      </w:r>
      <w:r>
        <w:t>: Overall, retention is lower for women than for men</w:t>
      </w:r>
      <w:r>
        <w:rPr>
          <w:vertAlign w:val="superscript"/>
        </w:rPr>
        <w:t>6</w:t>
      </w:r>
      <w:r>
        <w:t>. This arises for a variety of reasons, such as: low association as ‘in-group’ members in male-majority work settings, domestic responsibilities/ obligations t</w:t>
      </w:r>
      <w:r>
        <w:t>hat are poorly accommodated for by the firm, lower pay, sparser developmental opportunities, more career obstacles</w:t>
      </w:r>
      <w:r>
        <w:rPr>
          <w:vertAlign w:val="superscript"/>
        </w:rPr>
        <w:t>6</w:t>
      </w:r>
      <w:r>
        <w:t xml:space="preserve">.  </w:t>
      </w:r>
      <w:r>
        <w:rPr>
          <w:i/>
        </w:rPr>
        <w:t>Race</w:t>
      </w:r>
      <w:r>
        <w:t>: Retention is also lower for minorities than it is for whites</w:t>
      </w:r>
      <w:r>
        <w:rPr>
          <w:vertAlign w:val="superscript"/>
        </w:rPr>
        <w:t>6</w:t>
      </w:r>
      <w:r>
        <w:t xml:space="preserve">. While improved diversity recruiting efforts may bring more diversity </w:t>
      </w:r>
      <w:r>
        <w:t>into an organization, organizations have trouble retaining minorities it does not meet the demographic expectations of entry minorities.  In determining their ‘fit’, i.e. the process of socialization, with an organization, “minorities may interpret numeric</w:t>
      </w:r>
      <w:r>
        <w:t>al rarity of executives of color as an indicator of barriers to advancement, motivating them to seek opportunities elsewhere”</w:t>
      </w:r>
      <w:r>
        <w:rPr>
          <w:vertAlign w:val="superscript"/>
        </w:rPr>
        <w:t xml:space="preserve"> 6</w:t>
      </w:r>
      <w:r>
        <w:t>. The order of difficulty in socialization by race is: African American, Hispanic American, Asian American, White. As double mino</w:t>
      </w:r>
      <w:r>
        <w:t xml:space="preserve">rities, female minorities experience the greatest challenges to socialization.  </w:t>
      </w:r>
    </w:p>
    <w:p w14:paraId="4E9ADDBE" w14:textId="77777777" w:rsidR="00B42512" w:rsidRDefault="00177938">
      <w:pPr>
        <w:ind w:left="-5" w:right="71"/>
      </w:pPr>
      <w:r>
        <w:rPr>
          <w:i/>
        </w:rPr>
        <w:t>Similarity attraction thesis</w:t>
      </w:r>
      <w:r>
        <w:t>- members of a particular demographic subgroup take flight when demographically dissimilar members increasingly populate the workplace</w:t>
      </w:r>
      <w:r>
        <w:rPr>
          <w:vertAlign w:val="superscript"/>
        </w:rPr>
        <w:t>6</w:t>
      </w:r>
      <w:r>
        <w:t>. For exampl</w:t>
      </w:r>
      <w:r>
        <w:t>e, in a recent study, there was a drop in retention among men in an organization as the number of females increased Appendix E</w:t>
      </w:r>
      <w:r>
        <w:rPr>
          <w:vertAlign w:val="superscript"/>
        </w:rPr>
        <w:t>6</w:t>
      </w:r>
      <w:r>
        <w:t xml:space="preserve">.  </w:t>
      </w:r>
    </w:p>
    <w:p w14:paraId="2639B138" w14:textId="77777777" w:rsidR="00B42512" w:rsidRDefault="00177938">
      <w:pPr>
        <w:pStyle w:val="Heading3"/>
        <w:spacing w:after="45"/>
        <w:ind w:left="-5"/>
      </w:pPr>
      <w:r>
        <w:rPr>
          <w:i w:val="0"/>
          <w:u w:val="single" w:color="000000"/>
        </w:rPr>
        <w:t>Job-Related Differences</w:t>
      </w:r>
      <w:r>
        <w:rPr>
          <w:i w:val="0"/>
        </w:rPr>
        <w:t xml:space="preserve"> </w:t>
      </w:r>
    </w:p>
    <w:p w14:paraId="0E507A1A" w14:textId="77777777" w:rsidR="00B42512" w:rsidRPr="00AA63A5" w:rsidRDefault="00177938">
      <w:pPr>
        <w:ind w:left="-5" w:right="71"/>
        <w:rPr>
          <w:highlight w:val="yellow"/>
        </w:rPr>
      </w:pPr>
      <w:r w:rsidRPr="00AA63A5">
        <w:rPr>
          <w:i/>
          <w:highlight w:val="yellow"/>
        </w:rPr>
        <w:t>Job Level:</w:t>
      </w:r>
      <w:r w:rsidRPr="00AA63A5">
        <w:rPr>
          <w:highlight w:val="yellow"/>
        </w:rPr>
        <w:t xml:space="preserve"> It is important to analyze retention factors for unique job levels because each will value different features of the company and will hold a different psychological contract with the organization. Research demonstrates that hourly workers are more likely </w:t>
      </w:r>
      <w:r w:rsidRPr="00AA63A5">
        <w:rPr>
          <w:highlight w:val="yellow"/>
        </w:rPr>
        <w:t>to cite transactional retention factors whereas workers at higher job levels are more likely to cite relational retention factors</w:t>
      </w:r>
      <w:r w:rsidRPr="00AA63A5">
        <w:rPr>
          <w:highlight w:val="yellow"/>
          <w:vertAlign w:val="superscript"/>
        </w:rPr>
        <w:t>3</w:t>
      </w:r>
      <w:r w:rsidRPr="00AA63A5">
        <w:rPr>
          <w:highlight w:val="yellow"/>
        </w:rPr>
        <w:t>. Please see Appendix F</w:t>
      </w:r>
      <w:r w:rsidRPr="00AA63A5">
        <w:rPr>
          <w:highlight w:val="yellow"/>
          <w:vertAlign w:val="superscript"/>
        </w:rPr>
        <w:t>3</w:t>
      </w:r>
      <w:r w:rsidRPr="00AA63A5">
        <w:rPr>
          <w:highlight w:val="yellow"/>
        </w:rPr>
        <w:t xml:space="preserve"> for a graphical analysis of reported reasons for retention by job level.  </w:t>
      </w:r>
    </w:p>
    <w:p w14:paraId="4068F93C" w14:textId="4E669946" w:rsidR="00B42512" w:rsidRDefault="00177938">
      <w:pPr>
        <w:ind w:left="-5" w:right="71"/>
      </w:pPr>
      <w:r w:rsidRPr="00AA63A5">
        <w:rPr>
          <w:i/>
          <w:highlight w:val="yellow"/>
        </w:rPr>
        <w:t>Job Performance:</w:t>
      </w:r>
      <w:r w:rsidRPr="00AA63A5">
        <w:rPr>
          <w:highlight w:val="yellow"/>
        </w:rPr>
        <w:t xml:space="preserve"> It is imp</w:t>
      </w:r>
      <w:r w:rsidRPr="00AA63A5">
        <w:rPr>
          <w:highlight w:val="yellow"/>
        </w:rPr>
        <w:t>ortant to understand how companies can best retain high performers because “High performers are most likely to possess the knowledge, skills and experience necessary to contribute to the overall success of the organization”</w:t>
      </w:r>
      <w:r w:rsidRPr="00AA63A5">
        <w:rPr>
          <w:highlight w:val="yellow"/>
          <w:vertAlign w:val="superscript"/>
        </w:rPr>
        <w:t xml:space="preserve"> 3</w:t>
      </w:r>
      <w:r w:rsidRPr="00AA63A5">
        <w:rPr>
          <w:highlight w:val="yellow"/>
        </w:rPr>
        <w:t>. High performers are more like</w:t>
      </w:r>
      <w:r w:rsidRPr="00AA63A5">
        <w:rPr>
          <w:highlight w:val="yellow"/>
        </w:rPr>
        <w:t xml:space="preserve">ly to stay due to organization prestige and advancement opportunities whereas low performers place higher value on extrinsic rewards; these results can be in greater </w:t>
      </w:r>
      <w:r w:rsidRPr="00AA63A5">
        <w:rPr>
          <w:highlight w:val="yellow"/>
        </w:rPr>
        <w:lastRenderedPageBreak/>
        <w:t>graphical detail in Appendix G</w:t>
      </w:r>
      <w:r w:rsidRPr="00AA63A5">
        <w:rPr>
          <w:highlight w:val="yellow"/>
          <w:vertAlign w:val="superscript"/>
        </w:rPr>
        <w:t>3</w:t>
      </w:r>
      <w:r w:rsidRPr="00AA63A5">
        <w:rPr>
          <w:highlight w:val="yellow"/>
        </w:rPr>
        <w:t>.  An explanation of the definitions for each of these rete</w:t>
      </w:r>
      <w:r w:rsidRPr="00AA63A5">
        <w:rPr>
          <w:highlight w:val="yellow"/>
        </w:rPr>
        <w:t>ntion factors can be viewed in Appendix H</w:t>
      </w:r>
      <w:r w:rsidRPr="00AA63A5">
        <w:rPr>
          <w:highlight w:val="yellow"/>
          <w:vertAlign w:val="superscript"/>
        </w:rPr>
        <w:t>3</w:t>
      </w:r>
      <w:r w:rsidRPr="00AA63A5">
        <w:rPr>
          <w:highlight w:val="yellow"/>
        </w:rPr>
        <w:t>.</w:t>
      </w:r>
      <w:r>
        <w:t xml:space="preserve">  </w:t>
      </w:r>
    </w:p>
    <w:p w14:paraId="5112E839" w14:textId="48CB6616" w:rsidR="00AA63A5" w:rsidRPr="00AA63A5" w:rsidRDefault="00AA63A5">
      <w:pPr>
        <w:ind w:left="-5" w:right="71"/>
        <w:rPr>
          <w:color w:val="FF0000"/>
        </w:rPr>
      </w:pPr>
      <w:r w:rsidRPr="00AA63A5">
        <w:rPr>
          <w:i/>
          <w:color w:val="FF0000"/>
        </w:rPr>
        <w:t>(no 25 and 26)</w:t>
      </w:r>
    </w:p>
    <w:p w14:paraId="162E38B5" w14:textId="77777777" w:rsidR="00B42512" w:rsidRDefault="00177938">
      <w:pPr>
        <w:spacing w:after="275" w:line="259" w:lineRule="auto"/>
        <w:ind w:left="1" w:right="0" w:firstLine="0"/>
        <w:jc w:val="left"/>
      </w:pPr>
      <w:r>
        <w:t xml:space="preserve"> </w:t>
      </w:r>
    </w:p>
    <w:p w14:paraId="06423D4B" w14:textId="77777777" w:rsidR="00B42512" w:rsidRDefault="00177938">
      <w:pPr>
        <w:spacing w:after="0" w:line="259" w:lineRule="auto"/>
        <w:ind w:left="1" w:right="0" w:firstLine="0"/>
        <w:jc w:val="center"/>
      </w:pPr>
      <w:r>
        <w:rPr>
          <w:b/>
          <w:sz w:val="40"/>
        </w:rPr>
        <w:t xml:space="preserve"> </w:t>
      </w:r>
    </w:p>
    <w:p w14:paraId="363608F0" w14:textId="77777777" w:rsidR="00B42512" w:rsidRDefault="00177938">
      <w:pPr>
        <w:spacing w:after="142" w:line="259" w:lineRule="auto"/>
        <w:ind w:left="1" w:right="0" w:firstLine="0"/>
        <w:jc w:val="center"/>
      </w:pPr>
      <w:r>
        <w:rPr>
          <w:b/>
          <w:sz w:val="40"/>
        </w:rPr>
        <w:t xml:space="preserve"> </w:t>
      </w:r>
    </w:p>
    <w:p w14:paraId="5201BCD9" w14:textId="77777777" w:rsidR="00B42512" w:rsidRDefault="00177938">
      <w:pPr>
        <w:pStyle w:val="Heading1"/>
      </w:pPr>
      <w:r>
        <w:t xml:space="preserve">Appendix A </w:t>
      </w:r>
    </w:p>
    <w:p w14:paraId="27B6AC9F" w14:textId="77777777" w:rsidR="00B42512" w:rsidRDefault="00177938">
      <w:pPr>
        <w:spacing w:after="121" w:line="259" w:lineRule="auto"/>
        <w:ind w:left="0" w:right="0" w:firstLine="0"/>
        <w:jc w:val="center"/>
      </w:pPr>
      <w:r>
        <w:rPr>
          <w:b/>
          <w:sz w:val="40"/>
        </w:rPr>
        <w:t xml:space="preserve"> </w:t>
      </w:r>
    </w:p>
    <w:p w14:paraId="260916CC" w14:textId="77777777" w:rsidR="00B42512" w:rsidRDefault="00177938">
      <w:pPr>
        <w:spacing w:after="101" w:line="259" w:lineRule="auto"/>
        <w:ind w:left="0" w:right="0" w:firstLine="0"/>
        <w:jc w:val="right"/>
      </w:pPr>
      <w:r>
        <w:rPr>
          <w:noProof/>
        </w:rPr>
        <w:drawing>
          <wp:inline distT="0" distB="0" distL="0" distR="0" wp14:anchorId="3F60EB68" wp14:editId="0433D9B7">
            <wp:extent cx="6858000" cy="5410200"/>
            <wp:effectExtent l="0" t="0" r="0" b="0"/>
            <wp:docPr id="346" name="Picture 346"/>
            <wp:cNvGraphicFramePr/>
            <a:graphic xmlns:a="http://schemas.openxmlformats.org/drawingml/2006/main">
              <a:graphicData uri="http://schemas.openxmlformats.org/drawingml/2006/picture">
                <pic:pic xmlns:pic="http://schemas.openxmlformats.org/drawingml/2006/picture">
                  <pic:nvPicPr>
                    <pic:cNvPr id="346" name="Picture 346"/>
                    <pic:cNvPicPr/>
                  </pic:nvPicPr>
                  <pic:blipFill>
                    <a:blip r:embed="rId18"/>
                    <a:stretch>
                      <a:fillRect/>
                    </a:stretch>
                  </pic:blipFill>
                  <pic:spPr>
                    <a:xfrm>
                      <a:off x="0" y="0"/>
                      <a:ext cx="6858000" cy="5410200"/>
                    </a:xfrm>
                    <a:prstGeom prst="rect">
                      <a:avLst/>
                    </a:prstGeom>
                  </pic:spPr>
                </pic:pic>
              </a:graphicData>
            </a:graphic>
          </wp:inline>
        </w:drawing>
      </w:r>
      <w:r>
        <w:rPr>
          <w:b/>
          <w:sz w:val="40"/>
        </w:rPr>
        <w:t xml:space="preserve"> </w:t>
      </w:r>
    </w:p>
    <w:p w14:paraId="45BC4B14" w14:textId="77777777" w:rsidR="00B42512" w:rsidRDefault="00177938">
      <w:pPr>
        <w:spacing w:after="142" w:line="259" w:lineRule="auto"/>
        <w:ind w:left="0" w:right="0" w:firstLine="0"/>
        <w:jc w:val="center"/>
      </w:pPr>
      <w:r>
        <w:rPr>
          <w:b/>
          <w:sz w:val="40"/>
        </w:rPr>
        <w:t xml:space="preserve"> </w:t>
      </w:r>
    </w:p>
    <w:p w14:paraId="6399163B" w14:textId="77777777" w:rsidR="00B42512" w:rsidRDefault="00177938">
      <w:pPr>
        <w:spacing w:after="157" w:line="259" w:lineRule="auto"/>
        <w:ind w:left="0" w:right="0" w:firstLine="0"/>
        <w:jc w:val="left"/>
      </w:pPr>
      <w:r>
        <w:rPr>
          <w:b/>
          <w:sz w:val="40"/>
        </w:rPr>
        <w:t xml:space="preserve"> </w:t>
      </w:r>
    </w:p>
    <w:p w14:paraId="02F6B8B8" w14:textId="77777777" w:rsidR="00B42512" w:rsidRDefault="00177938">
      <w:pPr>
        <w:spacing w:after="0" w:line="259" w:lineRule="auto"/>
        <w:ind w:left="0" w:right="0" w:firstLine="0"/>
        <w:jc w:val="left"/>
      </w:pPr>
      <w:r>
        <w:rPr>
          <w:b/>
          <w:sz w:val="40"/>
        </w:rPr>
        <w:t xml:space="preserve"> </w:t>
      </w:r>
      <w:r>
        <w:rPr>
          <w:b/>
          <w:sz w:val="40"/>
        </w:rPr>
        <w:tab/>
        <w:t xml:space="preserve"> </w:t>
      </w:r>
    </w:p>
    <w:p w14:paraId="4E1911CE" w14:textId="77777777" w:rsidR="00B42512" w:rsidRDefault="00B42512">
      <w:pPr>
        <w:sectPr w:rsidR="00B42512">
          <w:headerReference w:type="even" r:id="rId19"/>
          <w:headerReference w:type="default" r:id="rId20"/>
          <w:headerReference w:type="first" r:id="rId21"/>
          <w:pgSz w:w="12240" w:h="15840"/>
          <w:pgMar w:top="359" w:right="632" w:bottom="1242" w:left="720" w:header="720" w:footer="720" w:gutter="0"/>
          <w:cols w:space="720"/>
        </w:sectPr>
      </w:pPr>
    </w:p>
    <w:p w14:paraId="32CCF710" w14:textId="77777777" w:rsidR="00B42512" w:rsidRDefault="00177938">
      <w:pPr>
        <w:spacing w:after="102" w:line="259" w:lineRule="auto"/>
        <w:ind w:left="0" w:right="520" w:firstLine="0"/>
        <w:jc w:val="right"/>
      </w:pPr>
      <w:r>
        <w:rPr>
          <w:noProof/>
        </w:rPr>
        <w:lastRenderedPageBreak/>
        <w:drawing>
          <wp:inline distT="0" distB="0" distL="0" distR="0" wp14:anchorId="5433E84B" wp14:editId="66636288">
            <wp:extent cx="6845300" cy="5397500"/>
            <wp:effectExtent l="0" t="0" r="0" b="0"/>
            <wp:docPr id="361" name="Picture 361"/>
            <wp:cNvGraphicFramePr/>
            <a:graphic xmlns:a="http://schemas.openxmlformats.org/drawingml/2006/main">
              <a:graphicData uri="http://schemas.openxmlformats.org/drawingml/2006/picture">
                <pic:pic xmlns:pic="http://schemas.openxmlformats.org/drawingml/2006/picture">
                  <pic:nvPicPr>
                    <pic:cNvPr id="361" name="Picture 361"/>
                    <pic:cNvPicPr/>
                  </pic:nvPicPr>
                  <pic:blipFill>
                    <a:blip r:embed="rId22"/>
                    <a:stretch>
                      <a:fillRect/>
                    </a:stretch>
                  </pic:blipFill>
                  <pic:spPr>
                    <a:xfrm>
                      <a:off x="0" y="0"/>
                      <a:ext cx="6845300" cy="5397500"/>
                    </a:xfrm>
                    <a:prstGeom prst="rect">
                      <a:avLst/>
                    </a:prstGeom>
                  </pic:spPr>
                </pic:pic>
              </a:graphicData>
            </a:graphic>
          </wp:inline>
        </w:drawing>
      </w:r>
      <w:r>
        <w:t xml:space="preserve"> </w:t>
      </w:r>
    </w:p>
    <w:p w14:paraId="7C2EE884" w14:textId="77777777" w:rsidR="00B42512" w:rsidRDefault="00177938">
      <w:pPr>
        <w:spacing w:after="45" w:line="259" w:lineRule="auto"/>
        <w:ind w:left="0" w:right="0" w:firstLine="0"/>
        <w:jc w:val="left"/>
      </w:pPr>
      <w:r>
        <w:t xml:space="preserve"> </w:t>
      </w:r>
    </w:p>
    <w:p w14:paraId="2E9B09A3" w14:textId="77777777" w:rsidR="00B42512" w:rsidRDefault="00177938">
      <w:pPr>
        <w:spacing w:after="42" w:line="259" w:lineRule="auto"/>
        <w:ind w:left="0" w:right="0" w:firstLine="0"/>
        <w:jc w:val="left"/>
      </w:pPr>
      <w:r>
        <w:t xml:space="preserve"> </w:t>
      </w:r>
    </w:p>
    <w:p w14:paraId="0CCD8B75" w14:textId="77777777" w:rsidR="00B42512" w:rsidRDefault="00177938">
      <w:pPr>
        <w:spacing w:after="45" w:line="259" w:lineRule="auto"/>
        <w:ind w:left="0" w:right="0" w:firstLine="0"/>
        <w:jc w:val="left"/>
      </w:pPr>
      <w:r>
        <w:t xml:space="preserve"> </w:t>
      </w:r>
    </w:p>
    <w:p w14:paraId="446BC7CB" w14:textId="77777777" w:rsidR="00B42512" w:rsidRDefault="00177938">
      <w:pPr>
        <w:spacing w:after="53" w:line="259" w:lineRule="auto"/>
        <w:ind w:left="0" w:right="0" w:firstLine="0"/>
        <w:jc w:val="left"/>
      </w:pPr>
      <w:r>
        <w:t xml:space="preserve"> </w:t>
      </w:r>
    </w:p>
    <w:p w14:paraId="75DC8ABD" w14:textId="77777777" w:rsidR="00B42512" w:rsidRDefault="00177938">
      <w:pPr>
        <w:spacing w:after="0" w:line="259" w:lineRule="auto"/>
        <w:ind w:left="0" w:right="0" w:firstLine="0"/>
        <w:jc w:val="left"/>
      </w:pPr>
      <w:r>
        <w:t xml:space="preserve"> </w:t>
      </w:r>
      <w:r>
        <w:tab/>
        <w:t xml:space="preserve"> </w:t>
      </w:r>
    </w:p>
    <w:p w14:paraId="28C36641" w14:textId="77777777" w:rsidR="00B42512" w:rsidRDefault="00177938">
      <w:pPr>
        <w:pStyle w:val="Heading1"/>
        <w:ind w:right="566"/>
      </w:pPr>
      <w:r>
        <w:t xml:space="preserve">Appendix C </w:t>
      </w:r>
    </w:p>
    <w:p w14:paraId="6B368D2C" w14:textId="77777777" w:rsidR="00B42512" w:rsidRDefault="00177938">
      <w:pPr>
        <w:spacing w:after="139" w:line="259" w:lineRule="auto"/>
        <w:ind w:left="0" w:right="480" w:firstLine="0"/>
        <w:jc w:val="center"/>
      </w:pPr>
      <w:r>
        <w:rPr>
          <w:b/>
          <w:sz w:val="40"/>
        </w:rPr>
        <w:t xml:space="preserve"> </w:t>
      </w:r>
    </w:p>
    <w:p w14:paraId="26D2CEB7" w14:textId="77777777" w:rsidR="00B42512" w:rsidRDefault="00177938">
      <w:pPr>
        <w:spacing w:after="0" w:line="259" w:lineRule="auto"/>
        <w:ind w:left="0" w:right="480" w:firstLine="0"/>
        <w:jc w:val="center"/>
      </w:pPr>
      <w:r>
        <w:rPr>
          <w:b/>
          <w:sz w:val="40"/>
        </w:rPr>
        <w:t xml:space="preserve"> </w:t>
      </w:r>
    </w:p>
    <w:p w14:paraId="00511488" w14:textId="77777777" w:rsidR="00B42512" w:rsidRDefault="00177938">
      <w:pPr>
        <w:spacing w:after="0" w:line="259" w:lineRule="auto"/>
        <w:ind w:left="0" w:right="480" w:firstLine="0"/>
        <w:jc w:val="right"/>
      </w:pPr>
      <w:r>
        <w:rPr>
          <w:noProof/>
        </w:rPr>
        <w:lastRenderedPageBreak/>
        <w:drawing>
          <wp:inline distT="0" distB="0" distL="0" distR="0" wp14:anchorId="0DC7DAB8" wp14:editId="471E7A1E">
            <wp:extent cx="6858000" cy="4749800"/>
            <wp:effectExtent l="0" t="0" r="0" b="0"/>
            <wp:docPr id="376" name="Picture 376"/>
            <wp:cNvGraphicFramePr/>
            <a:graphic xmlns:a="http://schemas.openxmlformats.org/drawingml/2006/main">
              <a:graphicData uri="http://schemas.openxmlformats.org/drawingml/2006/picture">
                <pic:pic xmlns:pic="http://schemas.openxmlformats.org/drawingml/2006/picture">
                  <pic:nvPicPr>
                    <pic:cNvPr id="376" name="Picture 376"/>
                    <pic:cNvPicPr/>
                  </pic:nvPicPr>
                  <pic:blipFill>
                    <a:blip r:embed="rId23"/>
                    <a:stretch>
                      <a:fillRect/>
                    </a:stretch>
                  </pic:blipFill>
                  <pic:spPr>
                    <a:xfrm>
                      <a:off x="0" y="0"/>
                      <a:ext cx="6858000" cy="4749800"/>
                    </a:xfrm>
                    <a:prstGeom prst="rect">
                      <a:avLst/>
                    </a:prstGeom>
                  </pic:spPr>
                </pic:pic>
              </a:graphicData>
            </a:graphic>
          </wp:inline>
        </w:drawing>
      </w:r>
      <w:r>
        <w:rPr>
          <w:b/>
          <w:sz w:val="40"/>
        </w:rPr>
        <w:t xml:space="preserve"> </w:t>
      </w:r>
    </w:p>
    <w:p w14:paraId="418D54E9" w14:textId="77777777" w:rsidR="00B42512" w:rsidRDefault="00177938">
      <w:pPr>
        <w:spacing w:after="142" w:line="259" w:lineRule="auto"/>
        <w:ind w:left="0" w:right="480" w:firstLine="0"/>
        <w:jc w:val="center"/>
      </w:pPr>
      <w:r>
        <w:rPr>
          <w:b/>
          <w:sz w:val="40"/>
        </w:rPr>
        <w:t xml:space="preserve"> </w:t>
      </w:r>
    </w:p>
    <w:p w14:paraId="65FF4EA1" w14:textId="77777777" w:rsidR="00B42512" w:rsidRDefault="00177938">
      <w:pPr>
        <w:spacing w:after="139" w:line="259" w:lineRule="auto"/>
        <w:ind w:left="0" w:right="480" w:firstLine="0"/>
        <w:jc w:val="center"/>
      </w:pPr>
      <w:r>
        <w:rPr>
          <w:b/>
          <w:sz w:val="40"/>
        </w:rPr>
        <w:t xml:space="preserve"> </w:t>
      </w:r>
    </w:p>
    <w:p w14:paraId="0E785281" w14:textId="77777777" w:rsidR="00B42512" w:rsidRDefault="00177938">
      <w:pPr>
        <w:spacing w:after="157" w:line="259" w:lineRule="auto"/>
        <w:ind w:left="0" w:right="480" w:firstLine="0"/>
        <w:jc w:val="center"/>
      </w:pPr>
      <w:r>
        <w:rPr>
          <w:b/>
          <w:sz w:val="40"/>
        </w:rPr>
        <w:t xml:space="preserve"> </w:t>
      </w:r>
    </w:p>
    <w:p w14:paraId="3901D470" w14:textId="77777777" w:rsidR="00B42512" w:rsidRDefault="00177938">
      <w:pPr>
        <w:spacing w:after="0" w:line="259" w:lineRule="auto"/>
        <w:ind w:left="0" w:right="0" w:firstLine="0"/>
        <w:jc w:val="left"/>
      </w:pPr>
      <w:r>
        <w:rPr>
          <w:b/>
          <w:sz w:val="40"/>
        </w:rPr>
        <w:t xml:space="preserve"> </w:t>
      </w:r>
      <w:r>
        <w:rPr>
          <w:b/>
          <w:sz w:val="40"/>
        </w:rPr>
        <w:tab/>
        <w:t xml:space="preserve"> </w:t>
      </w:r>
    </w:p>
    <w:p w14:paraId="163FA1A9" w14:textId="77777777" w:rsidR="00B42512" w:rsidRDefault="00177938">
      <w:pPr>
        <w:spacing w:after="0" w:line="259" w:lineRule="auto"/>
        <w:ind w:left="0" w:right="692" w:firstLine="0"/>
        <w:jc w:val="right"/>
      </w:pPr>
      <w:r>
        <w:rPr>
          <w:noProof/>
        </w:rPr>
        <w:lastRenderedPageBreak/>
        <w:drawing>
          <wp:inline distT="0" distB="0" distL="0" distR="0" wp14:anchorId="773FB05B" wp14:editId="615D7CA1">
            <wp:extent cx="6724650" cy="5162550"/>
            <wp:effectExtent l="0" t="0" r="0" b="0"/>
            <wp:docPr id="392" name="Picture 392"/>
            <wp:cNvGraphicFramePr/>
            <a:graphic xmlns:a="http://schemas.openxmlformats.org/drawingml/2006/main">
              <a:graphicData uri="http://schemas.openxmlformats.org/drawingml/2006/picture">
                <pic:pic xmlns:pic="http://schemas.openxmlformats.org/drawingml/2006/picture">
                  <pic:nvPicPr>
                    <pic:cNvPr id="392" name="Picture 392"/>
                    <pic:cNvPicPr/>
                  </pic:nvPicPr>
                  <pic:blipFill>
                    <a:blip r:embed="rId24"/>
                    <a:stretch>
                      <a:fillRect/>
                    </a:stretch>
                  </pic:blipFill>
                  <pic:spPr>
                    <a:xfrm>
                      <a:off x="0" y="0"/>
                      <a:ext cx="6724650" cy="5162550"/>
                    </a:xfrm>
                    <a:prstGeom prst="rect">
                      <a:avLst/>
                    </a:prstGeom>
                  </pic:spPr>
                </pic:pic>
              </a:graphicData>
            </a:graphic>
          </wp:inline>
        </w:drawing>
      </w:r>
      <w:r>
        <w:rPr>
          <w:b/>
          <w:sz w:val="40"/>
        </w:rPr>
        <w:t xml:space="preserve"> </w:t>
      </w:r>
    </w:p>
    <w:p w14:paraId="22298320" w14:textId="77777777" w:rsidR="00B42512" w:rsidRDefault="00177938">
      <w:pPr>
        <w:spacing w:after="142" w:line="259" w:lineRule="auto"/>
        <w:ind w:left="0" w:right="0" w:firstLine="0"/>
        <w:jc w:val="left"/>
      </w:pPr>
      <w:r>
        <w:rPr>
          <w:b/>
          <w:sz w:val="40"/>
        </w:rPr>
        <w:t xml:space="preserve"> </w:t>
      </w:r>
    </w:p>
    <w:p w14:paraId="2D9814FA" w14:textId="77777777" w:rsidR="00B42512" w:rsidRDefault="00177938">
      <w:pPr>
        <w:spacing w:after="139" w:line="259" w:lineRule="auto"/>
        <w:ind w:left="0" w:right="0" w:firstLine="0"/>
        <w:jc w:val="left"/>
      </w:pPr>
      <w:r>
        <w:rPr>
          <w:b/>
          <w:sz w:val="40"/>
        </w:rPr>
        <w:t xml:space="preserve"> </w:t>
      </w:r>
    </w:p>
    <w:p w14:paraId="3E69970F" w14:textId="77777777" w:rsidR="00B42512" w:rsidRDefault="00177938">
      <w:pPr>
        <w:spacing w:after="142" w:line="259" w:lineRule="auto"/>
        <w:ind w:left="0" w:right="0" w:firstLine="0"/>
        <w:jc w:val="left"/>
      </w:pPr>
      <w:r>
        <w:rPr>
          <w:b/>
          <w:sz w:val="40"/>
        </w:rPr>
        <w:t xml:space="preserve"> </w:t>
      </w:r>
    </w:p>
    <w:p w14:paraId="73D4E4ED" w14:textId="77777777" w:rsidR="00B42512" w:rsidRDefault="00177938">
      <w:pPr>
        <w:spacing w:after="142" w:line="259" w:lineRule="auto"/>
        <w:ind w:left="0" w:right="0" w:firstLine="0"/>
        <w:jc w:val="left"/>
      </w:pPr>
      <w:r>
        <w:rPr>
          <w:b/>
          <w:sz w:val="40"/>
        </w:rPr>
        <w:t xml:space="preserve"> </w:t>
      </w:r>
    </w:p>
    <w:p w14:paraId="495F4711" w14:textId="77777777" w:rsidR="00B42512" w:rsidRDefault="00177938">
      <w:pPr>
        <w:spacing w:after="139" w:line="259" w:lineRule="auto"/>
        <w:ind w:left="0" w:right="0" w:firstLine="0"/>
        <w:jc w:val="left"/>
      </w:pPr>
      <w:r>
        <w:rPr>
          <w:b/>
          <w:sz w:val="40"/>
        </w:rPr>
        <w:t xml:space="preserve"> </w:t>
      </w:r>
    </w:p>
    <w:p w14:paraId="67363176" w14:textId="77777777" w:rsidR="00B42512" w:rsidRDefault="00177938">
      <w:pPr>
        <w:spacing w:after="142" w:line="259" w:lineRule="auto"/>
        <w:ind w:left="0" w:right="0" w:firstLine="0"/>
        <w:jc w:val="left"/>
      </w:pPr>
      <w:r>
        <w:rPr>
          <w:b/>
          <w:sz w:val="40"/>
        </w:rPr>
        <w:t xml:space="preserve"> </w:t>
      </w:r>
    </w:p>
    <w:p w14:paraId="2514775A" w14:textId="77777777" w:rsidR="00B42512" w:rsidRDefault="00177938">
      <w:pPr>
        <w:spacing w:after="0" w:line="259" w:lineRule="auto"/>
        <w:ind w:left="0" w:right="0" w:firstLine="0"/>
        <w:jc w:val="left"/>
      </w:pPr>
      <w:r>
        <w:rPr>
          <w:b/>
          <w:sz w:val="40"/>
        </w:rPr>
        <w:t xml:space="preserve"> </w:t>
      </w:r>
    </w:p>
    <w:p w14:paraId="1D33785C" w14:textId="77777777" w:rsidR="00B42512" w:rsidRDefault="00177938">
      <w:pPr>
        <w:spacing w:after="142" w:line="259" w:lineRule="auto"/>
        <w:ind w:left="0" w:right="0" w:firstLine="0"/>
        <w:jc w:val="left"/>
      </w:pPr>
      <w:r>
        <w:rPr>
          <w:b/>
          <w:sz w:val="40"/>
        </w:rPr>
        <w:t xml:space="preserve"> </w:t>
      </w:r>
    </w:p>
    <w:p w14:paraId="5A9D31E5" w14:textId="77777777" w:rsidR="00B42512" w:rsidRDefault="00177938">
      <w:pPr>
        <w:pStyle w:val="Heading1"/>
        <w:ind w:right="564"/>
      </w:pPr>
      <w:r>
        <w:t xml:space="preserve">Appendix E </w:t>
      </w:r>
    </w:p>
    <w:p w14:paraId="5B8FFB2D" w14:textId="77777777" w:rsidR="00B42512" w:rsidRDefault="00177938">
      <w:pPr>
        <w:spacing w:after="142" w:line="259" w:lineRule="auto"/>
        <w:ind w:left="0" w:right="480" w:firstLine="0"/>
        <w:jc w:val="center"/>
      </w:pPr>
      <w:r>
        <w:rPr>
          <w:b/>
          <w:sz w:val="40"/>
        </w:rPr>
        <w:t xml:space="preserve"> </w:t>
      </w:r>
    </w:p>
    <w:p w14:paraId="3DA3D726" w14:textId="77777777" w:rsidR="00B42512" w:rsidRDefault="00177938">
      <w:pPr>
        <w:spacing w:after="0" w:line="259" w:lineRule="auto"/>
        <w:ind w:left="0" w:right="480" w:firstLine="0"/>
        <w:jc w:val="center"/>
      </w:pPr>
      <w:r>
        <w:rPr>
          <w:b/>
          <w:sz w:val="40"/>
        </w:rPr>
        <w:lastRenderedPageBreak/>
        <w:t xml:space="preserve"> </w:t>
      </w:r>
    </w:p>
    <w:p w14:paraId="51819290" w14:textId="77777777" w:rsidR="00B42512" w:rsidRDefault="00177938">
      <w:pPr>
        <w:spacing w:after="0" w:line="259" w:lineRule="auto"/>
        <w:ind w:left="0" w:right="0" w:firstLine="0"/>
        <w:jc w:val="right"/>
      </w:pPr>
      <w:r>
        <w:rPr>
          <w:noProof/>
        </w:rPr>
        <w:drawing>
          <wp:inline distT="0" distB="0" distL="0" distR="0" wp14:anchorId="5A832A24" wp14:editId="74F4985E">
            <wp:extent cx="7150100" cy="5575300"/>
            <wp:effectExtent l="0" t="0" r="0" b="0"/>
            <wp:docPr id="406" name="Picture 406"/>
            <wp:cNvGraphicFramePr/>
            <a:graphic xmlns:a="http://schemas.openxmlformats.org/drawingml/2006/main">
              <a:graphicData uri="http://schemas.openxmlformats.org/drawingml/2006/picture">
                <pic:pic xmlns:pic="http://schemas.openxmlformats.org/drawingml/2006/picture">
                  <pic:nvPicPr>
                    <pic:cNvPr id="406" name="Picture 406"/>
                    <pic:cNvPicPr/>
                  </pic:nvPicPr>
                  <pic:blipFill>
                    <a:blip r:embed="rId25"/>
                    <a:stretch>
                      <a:fillRect/>
                    </a:stretch>
                  </pic:blipFill>
                  <pic:spPr>
                    <a:xfrm>
                      <a:off x="0" y="0"/>
                      <a:ext cx="7150100" cy="5575300"/>
                    </a:xfrm>
                    <a:prstGeom prst="rect">
                      <a:avLst/>
                    </a:prstGeom>
                  </pic:spPr>
                </pic:pic>
              </a:graphicData>
            </a:graphic>
          </wp:inline>
        </w:drawing>
      </w:r>
      <w:r>
        <w:rPr>
          <w:b/>
          <w:sz w:val="40"/>
        </w:rPr>
        <w:t xml:space="preserve"> </w:t>
      </w:r>
    </w:p>
    <w:p w14:paraId="72E07C45" w14:textId="77777777" w:rsidR="00B42512" w:rsidRDefault="00177938">
      <w:pPr>
        <w:spacing w:after="157" w:line="259" w:lineRule="auto"/>
        <w:ind w:left="0" w:right="480" w:firstLine="0"/>
        <w:jc w:val="center"/>
      </w:pPr>
      <w:r>
        <w:rPr>
          <w:b/>
          <w:sz w:val="40"/>
        </w:rPr>
        <w:t xml:space="preserve"> </w:t>
      </w:r>
    </w:p>
    <w:p w14:paraId="290C5ABB" w14:textId="77777777" w:rsidR="00B42512" w:rsidRDefault="00177938">
      <w:pPr>
        <w:spacing w:after="0" w:line="259" w:lineRule="auto"/>
        <w:ind w:left="0" w:right="0" w:firstLine="0"/>
        <w:jc w:val="left"/>
      </w:pPr>
      <w:r>
        <w:rPr>
          <w:b/>
          <w:sz w:val="40"/>
        </w:rPr>
        <w:t xml:space="preserve"> </w:t>
      </w:r>
      <w:r>
        <w:rPr>
          <w:b/>
          <w:sz w:val="40"/>
        </w:rPr>
        <w:tab/>
        <w:t xml:space="preserve"> </w:t>
      </w:r>
    </w:p>
    <w:p w14:paraId="5A016E8E" w14:textId="77777777" w:rsidR="00B42512" w:rsidRDefault="00177938">
      <w:pPr>
        <w:spacing w:after="5" w:line="259" w:lineRule="auto"/>
        <w:ind w:left="0" w:right="82" w:firstLine="0"/>
        <w:jc w:val="right"/>
      </w:pPr>
      <w:r>
        <w:rPr>
          <w:noProof/>
        </w:rPr>
        <w:lastRenderedPageBreak/>
        <w:drawing>
          <wp:inline distT="0" distB="0" distL="0" distR="0" wp14:anchorId="66864090" wp14:editId="4767BC3D">
            <wp:extent cx="7108825" cy="5740400"/>
            <wp:effectExtent l="0" t="0" r="0" b="0"/>
            <wp:docPr id="419" name="Picture 419"/>
            <wp:cNvGraphicFramePr/>
            <a:graphic xmlns:a="http://schemas.openxmlformats.org/drawingml/2006/main">
              <a:graphicData uri="http://schemas.openxmlformats.org/drawingml/2006/picture">
                <pic:pic xmlns:pic="http://schemas.openxmlformats.org/drawingml/2006/picture">
                  <pic:nvPicPr>
                    <pic:cNvPr id="419" name="Picture 419"/>
                    <pic:cNvPicPr/>
                  </pic:nvPicPr>
                  <pic:blipFill>
                    <a:blip r:embed="rId26"/>
                    <a:stretch>
                      <a:fillRect/>
                    </a:stretch>
                  </pic:blipFill>
                  <pic:spPr>
                    <a:xfrm>
                      <a:off x="0" y="0"/>
                      <a:ext cx="7108825" cy="5740400"/>
                    </a:xfrm>
                    <a:prstGeom prst="rect">
                      <a:avLst/>
                    </a:prstGeom>
                  </pic:spPr>
                </pic:pic>
              </a:graphicData>
            </a:graphic>
          </wp:inline>
        </w:drawing>
      </w:r>
      <w:r>
        <w:rPr>
          <w:b/>
          <w:sz w:val="40"/>
        </w:rPr>
        <w:t xml:space="preserve"> </w:t>
      </w:r>
    </w:p>
    <w:p w14:paraId="03FB2764" w14:textId="77777777" w:rsidR="00B42512" w:rsidRDefault="00177938">
      <w:pPr>
        <w:spacing w:after="157" w:line="259" w:lineRule="auto"/>
        <w:ind w:left="0" w:right="480" w:firstLine="0"/>
        <w:jc w:val="center"/>
      </w:pPr>
      <w:r>
        <w:rPr>
          <w:b/>
          <w:sz w:val="40"/>
        </w:rPr>
        <w:t xml:space="preserve"> </w:t>
      </w:r>
    </w:p>
    <w:p w14:paraId="5522C6B9" w14:textId="77777777" w:rsidR="00B42512" w:rsidRDefault="00177938">
      <w:pPr>
        <w:spacing w:after="0" w:line="259" w:lineRule="auto"/>
        <w:ind w:left="0" w:right="0" w:firstLine="0"/>
        <w:jc w:val="left"/>
      </w:pPr>
      <w:r>
        <w:rPr>
          <w:b/>
          <w:sz w:val="40"/>
        </w:rPr>
        <w:t xml:space="preserve"> </w:t>
      </w:r>
      <w:r>
        <w:rPr>
          <w:b/>
          <w:sz w:val="40"/>
        </w:rPr>
        <w:tab/>
        <w:t xml:space="preserve"> </w:t>
      </w:r>
    </w:p>
    <w:p w14:paraId="322E852B" w14:textId="77777777" w:rsidR="00B42512" w:rsidRDefault="00B42512">
      <w:pPr>
        <w:sectPr w:rsidR="00B42512">
          <w:headerReference w:type="even" r:id="rId27"/>
          <w:headerReference w:type="default" r:id="rId28"/>
          <w:headerReference w:type="first" r:id="rId29"/>
          <w:pgSz w:w="12240" w:h="15840"/>
          <w:pgMar w:top="449" w:right="152" w:bottom="1624" w:left="720" w:header="720" w:footer="720" w:gutter="0"/>
          <w:pgNumType w:fmt="upperLetter" w:start="2"/>
          <w:cols w:space="720"/>
        </w:sectPr>
      </w:pPr>
    </w:p>
    <w:p w14:paraId="3DB793EB" w14:textId="77777777" w:rsidR="00B42512" w:rsidRDefault="00177938">
      <w:pPr>
        <w:spacing w:after="140" w:line="259" w:lineRule="auto"/>
        <w:ind w:left="0" w:right="559" w:firstLine="0"/>
        <w:jc w:val="center"/>
      </w:pPr>
      <w:r>
        <w:rPr>
          <w:b/>
          <w:sz w:val="40"/>
        </w:rPr>
        <w:lastRenderedPageBreak/>
        <w:t xml:space="preserve"> </w:t>
      </w:r>
    </w:p>
    <w:p w14:paraId="46B27B48" w14:textId="77777777" w:rsidR="00B42512" w:rsidRDefault="00177938">
      <w:pPr>
        <w:spacing w:after="123" w:line="259" w:lineRule="auto"/>
        <w:ind w:left="0" w:right="559" w:firstLine="0"/>
        <w:jc w:val="right"/>
      </w:pPr>
      <w:r>
        <w:rPr>
          <w:noProof/>
        </w:rPr>
        <w:drawing>
          <wp:inline distT="0" distB="0" distL="0" distR="0" wp14:anchorId="71AD4786" wp14:editId="1F9DD7F1">
            <wp:extent cx="6845300" cy="5384801"/>
            <wp:effectExtent l="0" t="0" r="0" b="0"/>
            <wp:docPr id="433" name="Picture 433"/>
            <wp:cNvGraphicFramePr/>
            <a:graphic xmlns:a="http://schemas.openxmlformats.org/drawingml/2006/main">
              <a:graphicData uri="http://schemas.openxmlformats.org/drawingml/2006/picture">
                <pic:pic xmlns:pic="http://schemas.openxmlformats.org/drawingml/2006/picture">
                  <pic:nvPicPr>
                    <pic:cNvPr id="433" name="Picture 433"/>
                    <pic:cNvPicPr/>
                  </pic:nvPicPr>
                  <pic:blipFill>
                    <a:blip r:embed="rId30"/>
                    <a:stretch>
                      <a:fillRect/>
                    </a:stretch>
                  </pic:blipFill>
                  <pic:spPr>
                    <a:xfrm>
                      <a:off x="0" y="0"/>
                      <a:ext cx="6845300" cy="5384801"/>
                    </a:xfrm>
                    <a:prstGeom prst="rect">
                      <a:avLst/>
                    </a:prstGeom>
                  </pic:spPr>
                </pic:pic>
              </a:graphicData>
            </a:graphic>
          </wp:inline>
        </w:drawing>
      </w:r>
      <w:r>
        <w:rPr>
          <w:b/>
          <w:sz w:val="40"/>
        </w:rPr>
        <w:t xml:space="preserve"> </w:t>
      </w:r>
    </w:p>
    <w:p w14:paraId="48305BFD" w14:textId="77777777" w:rsidR="00B42512" w:rsidRDefault="00177938">
      <w:pPr>
        <w:spacing w:after="157" w:line="259" w:lineRule="auto"/>
        <w:ind w:left="0" w:right="559" w:firstLine="0"/>
        <w:jc w:val="center"/>
      </w:pPr>
      <w:r>
        <w:rPr>
          <w:b/>
          <w:sz w:val="40"/>
        </w:rPr>
        <w:t xml:space="preserve"> </w:t>
      </w:r>
    </w:p>
    <w:p w14:paraId="0245C2CB" w14:textId="77777777" w:rsidR="00B42512" w:rsidRDefault="00177938">
      <w:pPr>
        <w:spacing w:after="0" w:line="259" w:lineRule="auto"/>
        <w:ind w:left="0" w:right="0" w:firstLine="0"/>
        <w:jc w:val="left"/>
      </w:pPr>
      <w:r>
        <w:rPr>
          <w:b/>
          <w:sz w:val="40"/>
        </w:rPr>
        <w:t xml:space="preserve"> </w:t>
      </w:r>
      <w:r>
        <w:rPr>
          <w:b/>
          <w:sz w:val="40"/>
        </w:rPr>
        <w:tab/>
        <w:t xml:space="preserve"> </w:t>
      </w:r>
    </w:p>
    <w:p w14:paraId="494E9CF8" w14:textId="77777777" w:rsidR="00B42512" w:rsidRDefault="00177938">
      <w:pPr>
        <w:spacing w:after="54" w:line="259" w:lineRule="auto"/>
        <w:ind w:left="0" w:right="559" w:firstLine="0"/>
        <w:jc w:val="center"/>
      </w:pPr>
      <w:r>
        <w:rPr>
          <w:b/>
          <w:sz w:val="40"/>
        </w:rPr>
        <w:t xml:space="preserve"> </w:t>
      </w:r>
    </w:p>
    <w:p w14:paraId="67E8AAEA" w14:textId="77777777" w:rsidR="00B42512" w:rsidRDefault="00177938">
      <w:pPr>
        <w:spacing w:after="36" w:line="259" w:lineRule="auto"/>
        <w:ind w:left="0" w:right="0" w:firstLine="0"/>
        <w:jc w:val="right"/>
      </w:pPr>
      <w:r>
        <w:rPr>
          <w:noProof/>
        </w:rPr>
        <w:lastRenderedPageBreak/>
        <w:drawing>
          <wp:inline distT="0" distB="0" distL="0" distR="0" wp14:anchorId="05720090" wp14:editId="018C36C9">
            <wp:extent cx="7213600" cy="5080000"/>
            <wp:effectExtent l="0" t="0" r="0" b="0"/>
            <wp:docPr id="447" name="Picture 447"/>
            <wp:cNvGraphicFramePr/>
            <a:graphic xmlns:a="http://schemas.openxmlformats.org/drawingml/2006/main">
              <a:graphicData uri="http://schemas.openxmlformats.org/drawingml/2006/picture">
                <pic:pic xmlns:pic="http://schemas.openxmlformats.org/drawingml/2006/picture">
                  <pic:nvPicPr>
                    <pic:cNvPr id="447" name="Picture 447"/>
                    <pic:cNvPicPr/>
                  </pic:nvPicPr>
                  <pic:blipFill>
                    <a:blip r:embed="rId31"/>
                    <a:stretch>
                      <a:fillRect/>
                    </a:stretch>
                  </pic:blipFill>
                  <pic:spPr>
                    <a:xfrm>
                      <a:off x="0" y="0"/>
                      <a:ext cx="7213600" cy="5080000"/>
                    </a:xfrm>
                    <a:prstGeom prst="rect">
                      <a:avLst/>
                    </a:prstGeom>
                  </pic:spPr>
                </pic:pic>
              </a:graphicData>
            </a:graphic>
          </wp:inline>
        </w:drawing>
      </w:r>
      <w:r>
        <w:rPr>
          <w:b/>
          <w:sz w:val="40"/>
        </w:rPr>
        <w:t xml:space="preserve"> </w:t>
      </w:r>
    </w:p>
    <w:p w14:paraId="63F1B529" w14:textId="77777777" w:rsidR="00B42512" w:rsidRDefault="00177938">
      <w:pPr>
        <w:spacing w:after="157" w:line="259" w:lineRule="auto"/>
        <w:ind w:left="0" w:right="559" w:firstLine="0"/>
        <w:jc w:val="center"/>
      </w:pPr>
      <w:r>
        <w:rPr>
          <w:b/>
          <w:sz w:val="40"/>
        </w:rPr>
        <w:t xml:space="preserve"> </w:t>
      </w:r>
    </w:p>
    <w:p w14:paraId="4ABFE426" w14:textId="77777777" w:rsidR="00B42512" w:rsidRDefault="00177938">
      <w:pPr>
        <w:spacing w:after="0" w:line="259" w:lineRule="auto"/>
        <w:ind w:left="0" w:right="0" w:firstLine="0"/>
        <w:jc w:val="left"/>
      </w:pPr>
      <w:r>
        <w:rPr>
          <w:b/>
          <w:sz w:val="40"/>
        </w:rPr>
        <w:t xml:space="preserve"> </w:t>
      </w:r>
      <w:r>
        <w:rPr>
          <w:b/>
          <w:sz w:val="40"/>
        </w:rPr>
        <w:tab/>
        <w:t xml:space="preserve"> </w:t>
      </w:r>
    </w:p>
    <w:p w14:paraId="3EA0621E" w14:textId="77777777" w:rsidR="00B42512" w:rsidRDefault="00177938">
      <w:pPr>
        <w:spacing w:after="112" w:line="259" w:lineRule="auto"/>
        <w:ind w:left="0" w:right="0" w:firstLine="0"/>
        <w:jc w:val="left"/>
      </w:pPr>
      <w:r>
        <w:rPr>
          <w:noProof/>
        </w:rPr>
        <w:lastRenderedPageBreak/>
        <w:drawing>
          <wp:anchor distT="0" distB="0" distL="114300" distR="114300" simplePos="0" relativeHeight="251658240" behindDoc="0" locked="0" layoutInCell="1" allowOverlap="0" wp14:anchorId="7B1E5F69" wp14:editId="573F274C">
            <wp:simplePos x="0" y="0"/>
            <wp:positionH relativeFrom="page">
              <wp:posOffset>457200</wp:posOffset>
            </wp:positionH>
            <wp:positionV relativeFrom="page">
              <wp:posOffset>1438224</wp:posOffset>
            </wp:positionV>
            <wp:extent cx="7316471" cy="5562522"/>
            <wp:effectExtent l="0" t="0" r="0" b="0"/>
            <wp:wrapTopAndBottom/>
            <wp:docPr id="458" name="Picture 458"/>
            <wp:cNvGraphicFramePr/>
            <a:graphic xmlns:a="http://schemas.openxmlformats.org/drawingml/2006/main">
              <a:graphicData uri="http://schemas.openxmlformats.org/drawingml/2006/picture">
                <pic:pic xmlns:pic="http://schemas.openxmlformats.org/drawingml/2006/picture">
                  <pic:nvPicPr>
                    <pic:cNvPr id="458" name="Picture 458"/>
                    <pic:cNvPicPr/>
                  </pic:nvPicPr>
                  <pic:blipFill>
                    <a:blip r:embed="rId32"/>
                    <a:stretch>
                      <a:fillRect/>
                    </a:stretch>
                  </pic:blipFill>
                  <pic:spPr>
                    <a:xfrm>
                      <a:off x="0" y="0"/>
                      <a:ext cx="7316471" cy="5562522"/>
                    </a:xfrm>
                    <a:prstGeom prst="rect">
                      <a:avLst/>
                    </a:prstGeom>
                  </pic:spPr>
                </pic:pic>
              </a:graphicData>
            </a:graphic>
          </wp:anchor>
        </w:drawing>
      </w:r>
      <w:r>
        <w:rPr>
          <w:b/>
          <w:sz w:val="40"/>
        </w:rPr>
        <w:t xml:space="preserve"> </w:t>
      </w:r>
    </w:p>
    <w:p w14:paraId="29E0EA59" w14:textId="77777777" w:rsidR="00B42512" w:rsidRDefault="00177938">
      <w:pPr>
        <w:spacing w:before="181" w:after="0" w:line="259" w:lineRule="auto"/>
        <w:ind w:left="0" w:right="0" w:firstLine="0"/>
      </w:pPr>
      <w:r>
        <w:rPr>
          <w:b/>
          <w:sz w:val="40"/>
        </w:rPr>
        <w:t xml:space="preserve"> </w:t>
      </w:r>
      <w:r>
        <w:rPr>
          <w:b/>
          <w:sz w:val="40"/>
        </w:rPr>
        <w:tab/>
        <w:t xml:space="preserve"> </w:t>
      </w:r>
    </w:p>
    <w:p w14:paraId="348B1CD1" w14:textId="77777777" w:rsidR="00B42512" w:rsidRDefault="00B42512">
      <w:pPr>
        <w:sectPr w:rsidR="00B42512">
          <w:headerReference w:type="even" r:id="rId33"/>
          <w:headerReference w:type="default" r:id="rId34"/>
          <w:headerReference w:type="first" r:id="rId35"/>
          <w:pgSz w:w="12240" w:h="15840"/>
          <w:pgMar w:top="1752" w:right="73" w:bottom="2927" w:left="720" w:header="449" w:footer="720" w:gutter="0"/>
          <w:pgNumType w:fmt="upperLetter"/>
          <w:cols w:space="720"/>
          <w:titlePg/>
        </w:sectPr>
      </w:pPr>
    </w:p>
    <w:p w14:paraId="57DD5883" w14:textId="77777777" w:rsidR="00B42512" w:rsidRDefault="00177938">
      <w:pPr>
        <w:spacing w:after="45" w:line="259" w:lineRule="auto"/>
        <w:ind w:left="91" w:right="0" w:firstLine="0"/>
        <w:jc w:val="center"/>
      </w:pPr>
      <w:r>
        <w:lastRenderedPageBreak/>
        <w:t xml:space="preserve"> </w:t>
      </w:r>
    </w:p>
    <w:p w14:paraId="61998A94" w14:textId="77777777" w:rsidR="00B42512" w:rsidRDefault="00177938">
      <w:pPr>
        <w:pStyle w:val="Heading2"/>
        <w:spacing w:after="44"/>
        <w:ind w:left="55" w:right="2"/>
        <w:jc w:val="center"/>
      </w:pPr>
      <w:r>
        <w:rPr>
          <w:u w:val="none"/>
        </w:rPr>
        <w:t xml:space="preserve">Works Cited </w:t>
      </w:r>
    </w:p>
    <w:p w14:paraId="5A664CAB" w14:textId="77777777" w:rsidR="00B42512" w:rsidRDefault="00177938">
      <w:pPr>
        <w:spacing w:after="42" w:line="259" w:lineRule="auto"/>
        <w:ind w:left="91" w:right="0" w:firstLine="0"/>
        <w:jc w:val="center"/>
      </w:pPr>
      <w:r>
        <w:t xml:space="preserve"> </w:t>
      </w:r>
    </w:p>
    <w:p w14:paraId="21983475" w14:textId="77777777" w:rsidR="00B42512" w:rsidRDefault="00177938">
      <w:pPr>
        <w:spacing w:after="95" w:line="259" w:lineRule="auto"/>
        <w:ind w:left="91" w:right="0" w:firstLine="0"/>
        <w:jc w:val="center"/>
      </w:pPr>
      <w:r>
        <w:t xml:space="preserve"> </w:t>
      </w:r>
    </w:p>
    <w:p w14:paraId="67213B67" w14:textId="77777777" w:rsidR="00B42512" w:rsidRDefault="00177938">
      <w:pPr>
        <w:numPr>
          <w:ilvl w:val="0"/>
          <w:numId w:val="1"/>
        </w:numPr>
        <w:spacing w:after="117" w:line="259" w:lineRule="auto"/>
        <w:ind w:right="71" w:hanging="360"/>
      </w:pPr>
      <w:r>
        <w:t xml:space="preserve">(2012). Retention: How do I calculate retention? Is retention related to turnover? </w:t>
      </w:r>
      <w:r>
        <w:rPr>
          <w:i/>
        </w:rPr>
        <w:t>SHRM</w:t>
      </w:r>
      <w:r>
        <w:t xml:space="preserve"> </w:t>
      </w:r>
    </w:p>
    <w:p w14:paraId="00F0C287" w14:textId="77777777" w:rsidR="00B42512" w:rsidRDefault="00177938">
      <w:pPr>
        <w:numPr>
          <w:ilvl w:val="0"/>
          <w:numId w:val="1"/>
        </w:numPr>
        <w:spacing w:after="38"/>
        <w:ind w:right="71" w:hanging="360"/>
      </w:pPr>
      <w:r>
        <w:t>J, D. W., &amp; Arora, S. (2004). Measuring retention rather than turnover: A different and complementary HR calculus.</w:t>
      </w:r>
      <w:r>
        <w:rPr>
          <w:i/>
        </w:rPr>
        <w:t xml:space="preserve"> </w:t>
      </w:r>
      <w:proofErr w:type="spellStart"/>
      <w:proofErr w:type="gramStart"/>
      <w:r>
        <w:rPr>
          <w:i/>
        </w:rPr>
        <w:t>HR.Human</w:t>
      </w:r>
      <w:proofErr w:type="spellEnd"/>
      <w:proofErr w:type="gramEnd"/>
      <w:r>
        <w:rPr>
          <w:i/>
        </w:rPr>
        <w:t xml:space="preserve"> Resource Planning, 27</w:t>
      </w:r>
      <w:r>
        <w:t xml:space="preserve">(3), 6-9.  </w:t>
      </w:r>
    </w:p>
    <w:p w14:paraId="2F635BEF" w14:textId="77777777" w:rsidR="00B42512" w:rsidRDefault="00177938">
      <w:pPr>
        <w:numPr>
          <w:ilvl w:val="0"/>
          <w:numId w:val="1"/>
        </w:numPr>
        <w:spacing w:after="36"/>
        <w:ind w:right="71" w:hanging="360"/>
      </w:pPr>
      <w:proofErr w:type="spellStart"/>
      <w:r>
        <w:t>Hausknecht</w:t>
      </w:r>
      <w:proofErr w:type="spellEnd"/>
      <w:r>
        <w:t>, J. P., Rodda, J., &amp; Howard, M. J. (2009). Targeted employee retention: Performance-base</w:t>
      </w:r>
      <w:r>
        <w:t xml:space="preserve">d and job-related differences in reported reasons for staying. Human Resource Management, 48(2), 269-288. </w:t>
      </w:r>
    </w:p>
    <w:p w14:paraId="11CA9DB8" w14:textId="77777777" w:rsidR="00B42512" w:rsidRDefault="00177938">
      <w:pPr>
        <w:numPr>
          <w:ilvl w:val="0"/>
          <w:numId w:val="1"/>
        </w:numPr>
        <w:spacing w:after="67" w:line="259" w:lineRule="auto"/>
        <w:ind w:right="71" w:hanging="360"/>
      </w:pPr>
      <w:proofErr w:type="spellStart"/>
      <w:r>
        <w:t>Hausknecht</w:t>
      </w:r>
      <w:proofErr w:type="spellEnd"/>
      <w:r>
        <w:t xml:space="preserve">, J. P., &amp; Trevor, C. O. (2011). Collective turnover at the group, unit, and organizational levels: </w:t>
      </w:r>
    </w:p>
    <w:p w14:paraId="25115C2C" w14:textId="77777777" w:rsidR="00B42512" w:rsidRDefault="00177938">
      <w:pPr>
        <w:spacing w:after="95" w:line="259" w:lineRule="auto"/>
        <w:ind w:left="370" w:right="71"/>
      </w:pPr>
      <w:r>
        <w:t>Evidence, issues, and implications.</w:t>
      </w:r>
      <w:r>
        <w:rPr>
          <w:i/>
        </w:rPr>
        <w:t xml:space="preserve"> Jo</w:t>
      </w:r>
      <w:r>
        <w:rPr>
          <w:i/>
        </w:rPr>
        <w:t>urnal of Management, 37</w:t>
      </w:r>
      <w:r>
        <w:t xml:space="preserve">(1), 352-388. </w:t>
      </w:r>
    </w:p>
    <w:p w14:paraId="2609C849" w14:textId="77777777" w:rsidR="00B42512" w:rsidRDefault="00177938">
      <w:pPr>
        <w:numPr>
          <w:ilvl w:val="0"/>
          <w:numId w:val="1"/>
        </w:numPr>
        <w:spacing w:after="38"/>
        <w:ind w:right="71" w:hanging="360"/>
      </w:pPr>
      <w:proofErr w:type="spellStart"/>
      <w:r>
        <w:t>Heavey</w:t>
      </w:r>
      <w:proofErr w:type="spellEnd"/>
      <w:r>
        <w:t xml:space="preserve">, A. L., Holwerda, J. A., &amp; </w:t>
      </w:r>
      <w:proofErr w:type="spellStart"/>
      <w:r>
        <w:t>Hausknecht</w:t>
      </w:r>
      <w:proofErr w:type="spellEnd"/>
      <w:r>
        <w:t>, J. P. (2013). Causes and consequences of collective turnover: A meta-analytic review.</w:t>
      </w:r>
      <w:r>
        <w:rPr>
          <w:i/>
        </w:rPr>
        <w:t xml:space="preserve"> Journal of Applied Psychology, 98</w:t>
      </w:r>
      <w:r>
        <w:t xml:space="preserve">(3) </w:t>
      </w:r>
    </w:p>
    <w:p w14:paraId="60554E81" w14:textId="77777777" w:rsidR="00B42512" w:rsidRDefault="00177938">
      <w:pPr>
        <w:numPr>
          <w:ilvl w:val="0"/>
          <w:numId w:val="1"/>
        </w:numPr>
        <w:spacing w:after="36"/>
        <w:ind w:right="71" w:hanging="360"/>
      </w:pPr>
      <w:proofErr w:type="spellStart"/>
      <w:r>
        <w:t>Hom</w:t>
      </w:r>
      <w:proofErr w:type="spellEnd"/>
      <w:r>
        <w:t>, P. W., Roberson, L., &amp; Ellis, A. D. (2008).</w:t>
      </w:r>
      <w:r>
        <w:t xml:space="preserve"> Challenging Conventional Wisdom About Who Quits: Revelations </w:t>
      </w:r>
      <w:proofErr w:type="gramStart"/>
      <w:r>
        <w:t>From</w:t>
      </w:r>
      <w:proofErr w:type="gramEnd"/>
      <w:r>
        <w:t xml:space="preserve"> Corporate America. Journal </w:t>
      </w:r>
      <w:proofErr w:type="gramStart"/>
      <w:r>
        <w:t>Of</w:t>
      </w:r>
      <w:proofErr w:type="gramEnd"/>
      <w:r>
        <w:t xml:space="preserve"> Applied Psychology, 93(1), 1-34. </w:t>
      </w:r>
    </w:p>
    <w:p w14:paraId="43B192FA" w14:textId="77777777" w:rsidR="00B42512" w:rsidRDefault="00177938">
      <w:pPr>
        <w:numPr>
          <w:ilvl w:val="0"/>
          <w:numId w:val="1"/>
        </w:numPr>
        <w:spacing w:after="117" w:line="259" w:lineRule="auto"/>
        <w:ind w:right="71" w:hanging="360"/>
      </w:pPr>
      <w:r>
        <w:t>Snell, A. (2009). Tackling the challenges of employee engagement.</w:t>
      </w:r>
      <w:r>
        <w:rPr>
          <w:i/>
        </w:rPr>
        <w:t xml:space="preserve"> Strategic HR Review, 8</w:t>
      </w:r>
      <w:r>
        <w:t xml:space="preserve">(2), 37-38.  </w:t>
      </w:r>
    </w:p>
    <w:p w14:paraId="0E605664" w14:textId="77777777" w:rsidR="00B42512" w:rsidRDefault="00177938">
      <w:pPr>
        <w:numPr>
          <w:ilvl w:val="0"/>
          <w:numId w:val="1"/>
        </w:numPr>
        <w:spacing w:after="38"/>
        <w:ind w:right="71" w:hanging="360"/>
      </w:pPr>
      <w:r>
        <w:t>Whitener, E. M. (2001).</w:t>
      </w:r>
      <w:r>
        <w:t xml:space="preserve"> Do "high commitment" human resource practices affect employee commitment? A cross-level analysis using hierarchical linear modeling.</w:t>
      </w:r>
      <w:r>
        <w:rPr>
          <w:i/>
        </w:rPr>
        <w:t xml:space="preserve"> Journal of Management, 27</w:t>
      </w:r>
      <w:r>
        <w:t xml:space="preserve">(5), 515-535.  </w:t>
      </w:r>
    </w:p>
    <w:p w14:paraId="20DEFE71" w14:textId="77777777" w:rsidR="00B42512" w:rsidRDefault="00177938">
      <w:pPr>
        <w:numPr>
          <w:ilvl w:val="0"/>
          <w:numId w:val="1"/>
        </w:numPr>
        <w:spacing w:after="0" w:line="318" w:lineRule="auto"/>
        <w:ind w:right="71" w:hanging="360"/>
      </w:pPr>
      <w:r>
        <w:t>Vandenberg, R. J., Richardson, H. A., &amp; Eastman, L. J. (1999). The impact of high</w:t>
      </w:r>
      <w:r>
        <w:t xml:space="preserve"> involvement work processes on organizational effectiveness: A second-order latent variable approach.</w:t>
      </w:r>
      <w:r>
        <w:rPr>
          <w:i/>
        </w:rPr>
        <w:t xml:space="preserve"> Group &amp; Organization Management, 24</w:t>
      </w:r>
      <w:r>
        <w:t xml:space="preserve">(3), 300-339.  </w:t>
      </w:r>
    </w:p>
    <w:p w14:paraId="25D3ECCD" w14:textId="77777777" w:rsidR="00B42512" w:rsidRDefault="00177938">
      <w:pPr>
        <w:spacing w:after="53" w:line="259" w:lineRule="auto"/>
        <w:ind w:left="0" w:right="0" w:firstLine="0"/>
        <w:jc w:val="left"/>
      </w:pPr>
      <w:r>
        <w:t xml:space="preserve"> </w:t>
      </w:r>
    </w:p>
    <w:p w14:paraId="4E302D58" w14:textId="77777777" w:rsidR="00B42512" w:rsidRDefault="00177938">
      <w:pPr>
        <w:spacing w:after="0" w:line="259" w:lineRule="auto"/>
        <w:ind w:left="0" w:right="0" w:firstLine="0"/>
        <w:jc w:val="left"/>
      </w:pPr>
      <w:r>
        <w:t xml:space="preserve"> </w:t>
      </w:r>
      <w:r>
        <w:tab/>
        <w:t xml:space="preserve"> </w:t>
      </w:r>
      <w:r>
        <w:br w:type="page"/>
      </w:r>
    </w:p>
    <w:p w14:paraId="29485DA4" w14:textId="77777777" w:rsidR="00B42512" w:rsidRDefault="00177938">
      <w:pPr>
        <w:pStyle w:val="Heading2"/>
        <w:spacing w:after="230"/>
        <w:ind w:left="55"/>
        <w:jc w:val="center"/>
      </w:pPr>
      <w:r>
        <w:rPr>
          <w:u w:val="none"/>
        </w:rPr>
        <w:lastRenderedPageBreak/>
        <w:t xml:space="preserve">Further Reading </w:t>
      </w:r>
    </w:p>
    <w:p w14:paraId="583D19CB" w14:textId="77777777" w:rsidR="00B42512" w:rsidRDefault="00177938">
      <w:pPr>
        <w:numPr>
          <w:ilvl w:val="0"/>
          <w:numId w:val="2"/>
        </w:numPr>
        <w:spacing w:after="79" w:line="398" w:lineRule="auto"/>
        <w:ind w:right="71"/>
      </w:pPr>
      <w:r>
        <w:t xml:space="preserve">SHRM Foundation’s Effective Practice Guidelines Series: Retaining Talent-A Guideline To Analyzing And Managing Employee Turnover </w:t>
      </w:r>
      <w:hyperlink r:id="rId36">
        <w:r>
          <w:rPr>
            <w:color w:val="0562C1"/>
            <w:u w:val="single" w:color="0562C1"/>
          </w:rPr>
          <w:t>http://www.shrm.org/</w:t>
        </w:r>
        <w:r>
          <w:rPr>
            <w:color w:val="0562C1"/>
            <w:u w:val="single" w:color="0562C1"/>
          </w:rPr>
          <w:t>about/foundation/research/documents/retaining%20talent-%20final.pdf</w:t>
        </w:r>
      </w:hyperlink>
      <w:hyperlink r:id="rId37">
        <w:r>
          <w:t xml:space="preserve"> </w:t>
        </w:r>
      </w:hyperlink>
    </w:p>
    <w:p w14:paraId="3B1369F2" w14:textId="77777777" w:rsidR="00B42512" w:rsidRDefault="00177938">
      <w:pPr>
        <w:numPr>
          <w:ilvl w:val="0"/>
          <w:numId w:val="2"/>
        </w:numPr>
        <w:spacing w:after="172"/>
        <w:ind w:right="71"/>
      </w:pPr>
      <w:r>
        <w:t>Cole, C. R., &amp; McCullough, K. A. (2012). THE INSURANCE INDUSTRY'S TALENT GAP AND WHERE WE GO FROM HERE.</w:t>
      </w:r>
      <w:r>
        <w:rPr>
          <w:i/>
        </w:rPr>
        <w:t xml:space="preserve"> Risk Management and Insurance Review, 15</w:t>
      </w:r>
      <w:r>
        <w:t xml:space="preserve">(1), </w:t>
      </w:r>
      <w:r>
        <w:t xml:space="preserve">107-116.  </w:t>
      </w:r>
    </w:p>
    <w:p w14:paraId="72D443A6" w14:textId="77777777" w:rsidR="00B42512" w:rsidRDefault="00177938">
      <w:pPr>
        <w:spacing w:after="230" w:line="259" w:lineRule="auto"/>
        <w:ind w:left="-5" w:right="0"/>
        <w:jc w:val="left"/>
      </w:pPr>
      <w:r>
        <w:t xml:space="preserve">Retrieved from </w:t>
      </w:r>
      <w:hyperlink r:id="rId38">
        <w:r>
          <w:rPr>
            <w:color w:val="0562C1"/>
            <w:u w:val="single" w:color="0562C1"/>
          </w:rPr>
          <w:t>http://search.proquest.com/docview/1314776071?accountid=10267</w:t>
        </w:r>
      </w:hyperlink>
      <w:hyperlink r:id="rId39">
        <w:r>
          <w:t xml:space="preserve"> </w:t>
        </w:r>
      </w:hyperlink>
    </w:p>
    <w:p w14:paraId="5434363B" w14:textId="77777777" w:rsidR="00B42512" w:rsidRDefault="00177938">
      <w:pPr>
        <w:spacing w:after="166" w:line="318" w:lineRule="auto"/>
        <w:ind w:left="-5" w:right="24"/>
        <w:jc w:val="left"/>
      </w:pPr>
      <w:r>
        <w:t>Abstr</w:t>
      </w:r>
      <w:r>
        <w:t xml:space="preserve">act: There is concern among insurers and related firms in the US and abroad that there will be a shortage of skilled insurance professionals in the next few years as current workers retire. Though there have been discussions among insurers, organizations, </w:t>
      </w:r>
      <w:r>
        <w:t>and academics as to how to address this issue, until recently, each group has been primarily working in isolation. The Insurance Education &amp; Career Summit, which took place in Sep 2011, brought together 110 individuals across these groups for the purpose o</w:t>
      </w:r>
      <w:r>
        <w:t>f creating a unified strategy to both attract and retain skilled workers to the insurance industry and work to create the next generation of insurance executives. This article provides a brief background on the talent gap issue. We also discuss its potenti</w:t>
      </w:r>
      <w:r>
        <w:t xml:space="preserve">al impact on the insurance industry. Finally, we summarize the main obstacles identified by Summit participants to both attracting and retaining skilled workers as well as the strategies developed to overcome these obstacles. </w:t>
      </w:r>
    </w:p>
    <w:p w14:paraId="72116A3E" w14:textId="77777777" w:rsidR="00B42512" w:rsidRDefault="00177938">
      <w:pPr>
        <w:numPr>
          <w:ilvl w:val="0"/>
          <w:numId w:val="2"/>
        </w:numPr>
        <w:spacing w:after="172"/>
        <w:ind w:right="71"/>
      </w:pPr>
      <w:r>
        <w:t xml:space="preserve">Allen, D. G., Bryant, P. C., </w:t>
      </w:r>
      <w:r>
        <w:t>&amp; Vardaman, J. M. (2010). Retaining talent: Replacing misconceptions with evidence-based strategies.</w:t>
      </w:r>
      <w:r>
        <w:rPr>
          <w:i/>
        </w:rPr>
        <w:t xml:space="preserve"> The Academy of Management Perspectives, 24</w:t>
      </w:r>
      <w:r>
        <w:t xml:space="preserve">(2), 48.  </w:t>
      </w:r>
    </w:p>
    <w:p w14:paraId="2125D38C" w14:textId="77777777" w:rsidR="00B42512" w:rsidRDefault="00177938">
      <w:pPr>
        <w:spacing w:after="230" w:line="259" w:lineRule="auto"/>
        <w:ind w:left="-5" w:right="0"/>
        <w:jc w:val="left"/>
      </w:pPr>
      <w:r>
        <w:t xml:space="preserve">Retrieved from </w:t>
      </w:r>
      <w:hyperlink r:id="rId40">
        <w:r>
          <w:rPr>
            <w:color w:val="0562C1"/>
            <w:u w:val="single" w:color="0562C1"/>
          </w:rPr>
          <w:t>http://</w:t>
        </w:r>
        <w:r>
          <w:rPr>
            <w:color w:val="0562C1"/>
            <w:u w:val="single" w:color="0562C1"/>
          </w:rPr>
          <w:t>search.proquest.com/docview/611022354?accountid=10267</w:t>
        </w:r>
      </w:hyperlink>
      <w:hyperlink r:id="rId41">
        <w:r>
          <w:t xml:space="preserve"> </w:t>
        </w:r>
      </w:hyperlink>
    </w:p>
    <w:p w14:paraId="433161A0" w14:textId="77777777" w:rsidR="00B42512" w:rsidRDefault="00177938">
      <w:pPr>
        <w:spacing w:after="166" w:line="318" w:lineRule="auto"/>
        <w:ind w:left="-5" w:right="24"/>
        <w:jc w:val="left"/>
      </w:pPr>
      <w:r>
        <w:t>Abstract: Despite extensive scholarly research and organizational interest in employee turnover, there remains a gap betw</w:t>
      </w:r>
      <w:r>
        <w:t>een science and practice in this area. This article bridges this gap and replaces several misconceptions about turnover with guidelines for evidence-based retention management strategies focused on shared understanding of turnover, knowledge of cause-and-e</w:t>
      </w:r>
      <w:r>
        <w:t xml:space="preserve">ffect relationships, and the ability to adapt this knowledge and apply it to disparate contexts. We provide new tools such as an illustration of the relative strength of turnover predictors, a summary of evidence-based HR strategies for managing turnover, </w:t>
      </w:r>
      <w:r>
        <w:t xml:space="preserve">and a new framework for implementing evidence-based retention strategies. We conclude with a research agenda to build on this evidence-based understanding.  </w:t>
      </w:r>
    </w:p>
    <w:p w14:paraId="587B00B4" w14:textId="77777777" w:rsidR="00B42512" w:rsidRDefault="00177938">
      <w:pPr>
        <w:numPr>
          <w:ilvl w:val="0"/>
          <w:numId w:val="2"/>
        </w:numPr>
        <w:spacing w:after="175"/>
        <w:ind w:right="71"/>
      </w:pPr>
      <w:r>
        <w:t>Kwon, W. J. (2014). Human capital risk and talent management issues in the insurance market: Publi</w:t>
      </w:r>
      <w:r>
        <w:t>c policy, industry and collegiate education perspectives.</w:t>
      </w:r>
      <w:r>
        <w:rPr>
          <w:i/>
        </w:rPr>
        <w:t xml:space="preserve"> Geneva Papers on Risk &amp; Insurance, 39</w:t>
      </w:r>
      <w:r>
        <w:t xml:space="preserve">(1), 173-196. </w:t>
      </w:r>
      <w:proofErr w:type="spellStart"/>
      <w:r>
        <w:t>doi</w:t>
      </w:r>
      <w:proofErr w:type="spellEnd"/>
      <w:r>
        <w:t xml:space="preserve">: </w:t>
      </w:r>
    </w:p>
    <w:p w14:paraId="01D6E178" w14:textId="77777777" w:rsidR="00B42512" w:rsidRDefault="00177938">
      <w:pPr>
        <w:spacing w:after="230" w:line="259" w:lineRule="auto"/>
        <w:ind w:left="-5" w:right="0"/>
        <w:jc w:val="left"/>
      </w:pPr>
      <w:hyperlink r:id="rId42">
        <w:r>
          <w:rPr>
            <w:color w:val="0562C1"/>
            <w:u w:val="single" w:color="0562C1"/>
          </w:rPr>
          <w:t>http://dx.doi.org/10.1057/gpp.2013.11</w:t>
        </w:r>
      </w:hyperlink>
      <w:hyperlink r:id="rId43">
        <w:r>
          <w:t xml:space="preserve"> </w:t>
        </w:r>
      </w:hyperlink>
    </w:p>
    <w:p w14:paraId="2B947789" w14:textId="77777777" w:rsidR="00B42512" w:rsidRDefault="00177938">
      <w:pPr>
        <w:spacing w:after="166" w:line="318" w:lineRule="auto"/>
        <w:ind w:left="-5" w:right="24"/>
        <w:jc w:val="left"/>
      </w:pPr>
      <w:r>
        <w:t>Abstract:</w:t>
      </w:r>
      <w:r>
        <w:rPr>
          <w:color w:val="515151"/>
          <w:u w:val="single" w:color="515151"/>
        </w:rPr>
        <w:t xml:space="preserve"> </w:t>
      </w:r>
      <w:r>
        <w:rPr>
          <w:color w:val="515151"/>
        </w:rPr>
        <w:t>The human capital</w:t>
      </w:r>
      <w:r>
        <w:t xml:space="preserve"> attraction and retention challenges </w:t>
      </w:r>
      <w:r>
        <w:rPr>
          <w:color w:val="515151"/>
        </w:rPr>
        <w:t>in the insurance industry</w:t>
      </w:r>
      <w:r>
        <w:t xml:space="preserve"> intensify due to a combining effect of demographic, social, economic and </w:t>
      </w:r>
      <w:r>
        <w:rPr>
          <w:color w:val="515151"/>
        </w:rPr>
        <w:t>market</w:t>
      </w:r>
      <w:r>
        <w:t xml:space="preserve">-specific factors. </w:t>
      </w:r>
      <w:r>
        <w:rPr>
          <w:color w:val="515151"/>
        </w:rPr>
        <w:t>In</w:t>
      </w:r>
      <w:r>
        <w:t xml:space="preserve"> addition, there is </w:t>
      </w:r>
      <w:r>
        <w:rPr>
          <w:color w:val="515151"/>
        </w:rPr>
        <w:t>human capital</w:t>
      </w:r>
      <w:r>
        <w:t xml:space="preserve"> obsolescence </w:t>
      </w:r>
      <w:r>
        <w:rPr>
          <w:color w:val="515151"/>
        </w:rPr>
        <w:t>risk</w:t>
      </w:r>
      <w:r>
        <w:t xml:space="preserve">. </w:t>
      </w:r>
      <w:r>
        <w:rPr>
          <w:color w:val="515151"/>
        </w:rPr>
        <w:t>T</w:t>
      </w:r>
      <w:r>
        <w:rPr>
          <w:color w:val="515151"/>
        </w:rPr>
        <w:t>he</w:t>
      </w:r>
      <w:r>
        <w:t xml:space="preserve"> study findings indicate that: </w:t>
      </w:r>
      <w:r>
        <w:rPr>
          <w:color w:val="515151"/>
        </w:rPr>
        <w:t>the</w:t>
      </w:r>
      <w:r>
        <w:t xml:space="preserve"> financial services occupation group requires high </w:t>
      </w:r>
      <w:r>
        <w:lastRenderedPageBreak/>
        <w:t xml:space="preserve">competency </w:t>
      </w:r>
      <w:r>
        <w:rPr>
          <w:color w:val="515151"/>
        </w:rPr>
        <w:t>in</w:t>
      </w:r>
      <w:r>
        <w:t xml:space="preserve"> cognitive abilities, social </w:t>
      </w:r>
      <w:r>
        <w:rPr>
          <w:color w:val="515151"/>
        </w:rPr>
        <w:t>perspectives</w:t>
      </w:r>
      <w:r>
        <w:t xml:space="preserve">, </w:t>
      </w:r>
      <w:r>
        <w:rPr>
          <w:color w:val="515151"/>
        </w:rPr>
        <w:t>management</w:t>
      </w:r>
      <w:r>
        <w:t xml:space="preserve"> knowledge and communication skills, but not much </w:t>
      </w:r>
      <w:r>
        <w:rPr>
          <w:color w:val="515151"/>
        </w:rPr>
        <w:t>in</w:t>
      </w:r>
      <w:r>
        <w:t xml:space="preserve"> technical, physical/sensory or engineering skills;</w:t>
      </w:r>
      <w:r>
        <w:t xml:space="preserve"> </w:t>
      </w:r>
      <w:r>
        <w:rPr>
          <w:color w:val="515151"/>
        </w:rPr>
        <w:t>the insurance industry</w:t>
      </w:r>
      <w:r>
        <w:t xml:space="preserve"> and most </w:t>
      </w:r>
      <w:r>
        <w:rPr>
          <w:color w:val="515151"/>
        </w:rPr>
        <w:t>insurance</w:t>
      </w:r>
      <w:r>
        <w:t xml:space="preserve"> companies have not attained a high reputation; and </w:t>
      </w:r>
      <w:r>
        <w:rPr>
          <w:color w:val="515151"/>
        </w:rPr>
        <w:t>insurance</w:t>
      </w:r>
      <w:r>
        <w:t xml:space="preserve"> is not a widely </w:t>
      </w:r>
      <w:proofErr w:type="spellStart"/>
      <w:r>
        <w:t>recognised</w:t>
      </w:r>
      <w:proofErr w:type="spellEnd"/>
      <w:r>
        <w:t xml:space="preserve"> profession by </w:t>
      </w:r>
      <w:r>
        <w:rPr>
          <w:color w:val="515151"/>
        </w:rPr>
        <w:t>the public</w:t>
      </w:r>
      <w:r>
        <w:t xml:space="preserve"> and many college students. Based on our macro- and micro-</w:t>
      </w:r>
      <w:proofErr w:type="spellStart"/>
      <w:r>
        <w:t>spective</w:t>
      </w:r>
      <w:proofErr w:type="spellEnd"/>
      <w:r>
        <w:t xml:space="preserve"> investigation of </w:t>
      </w:r>
      <w:r>
        <w:rPr>
          <w:color w:val="515151"/>
        </w:rPr>
        <w:t>the industry</w:t>
      </w:r>
      <w:r>
        <w:t xml:space="preserve"> and university </w:t>
      </w:r>
      <w:r>
        <w:rPr>
          <w:color w:val="515151"/>
        </w:rPr>
        <w:t>education</w:t>
      </w:r>
      <w:r>
        <w:t xml:space="preserve">, we recommend: more </w:t>
      </w:r>
      <w:r>
        <w:rPr>
          <w:color w:val="515151"/>
        </w:rPr>
        <w:t>public</w:t>
      </w:r>
      <w:r>
        <w:t xml:space="preserve"> relations activities, closer work with local universities and their faculties for adoption of </w:t>
      </w:r>
      <w:r>
        <w:rPr>
          <w:color w:val="515151"/>
        </w:rPr>
        <w:t>the</w:t>
      </w:r>
      <w:r>
        <w:t xml:space="preserve"> field as a major; better </w:t>
      </w:r>
      <w:r>
        <w:rPr>
          <w:color w:val="515151"/>
        </w:rPr>
        <w:t>talent</w:t>
      </w:r>
      <w:r>
        <w:t xml:space="preserve"> recruitment, training and retention </w:t>
      </w:r>
      <w:proofErr w:type="spellStart"/>
      <w:r>
        <w:t>programmes</w:t>
      </w:r>
      <w:proofErr w:type="spellEnd"/>
      <w:r>
        <w:t xml:space="preserve">; and preparedness for </w:t>
      </w:r>
      <w:r>
        <w:rPr>
          <w:color w:val="515151"/>
        </w:rPr>
        <w:t>tale</w:t>
      </w:r>
      <w:r>
        <w:rPr>
          <w:color w:val="515151"/>
        </w:rPr>
        <w:t>nt</w:t>
      </w:r>
      <w:r>
        <w:t xml:space="preserve"> morbidity across financial services sectors and countries. </w:t>
      </w:r>
    </w:p>
    <w:p w14:paraId="79BA8C6C" w14:textId="77777777" w:rsidR="00B42512" w:rsidRDefault="00177938">
      <w:pPr>
        <w:spacing w:after="215" w:line="259" w:lineRule="auto"/>
        <w:ind w:left="0" w:right="0" w:firstLine="0"/>
        <w:jc w:val="left"/>
      </w:pPr>
      <w:r>
        <w:t xml:space="preserve"> </w:t>
      </w:r>
    </w:p>
    <w:p w14:paraId="04AA1149" w14:textId="77777777" w:rsidR="00B42512" w:rsidRDefault="00177938">
      <w:pPr>
        <w:spacing w:after="45" w:line="259" w:lineRule="auto"/>
        <w:ind w:left="0" w:right="0" w:firstLine="0"/>
        <w:jc w:val="left"/>
      </w:pPr>
      <w:r>
        <w:t xml:space="preserve"> </w:t>
      </w:r>
    </w:p>
    <w:p w14:paraId="0B65CF5A" w14:textId="77777777" w:rsidR="00B42512" w:rsidRDefault="00177938">
      <w:pPr>
        <w:spacing w:after="45" w:line="259" w:lineRule="auto"/>
        <w:ind w:left="360" w:right="0" w:firstLine="0"/>
        <w:jc w:val="left"/>
      </w:pPr>
      <w:r>
        <w:t xml:space="preserve"> </w:t>
      </w:r>
    </w:p>
    <w:p w14:paraId="5BD05B27" w14:textId="77777777" w:rsidR="00B42512" w:rsidRDefault="00177938">
      <w:pPr>
        <w:spacing w:after="42" w:line="259" w:lineRule="auto"/>
        <w:ind w:left="360" w:right="0" w:firstLine="0"/>
        <w:jc w:val="left"/>
      </w:pPr>
      <w:r>
        <w:t xml:space="preserve"> </w:t>
      </w:r>
    </w:p>
    <w:p w14:paraId="6345CE7E" w14:textId="77777777" w:rsidR="00B42512" w:rsidRDefault="00177938">
      <w:pPr>
        <w:spacing w:after="275" w:line="259" w:lineRule="auto"/>
        <w:ind w:left="0" w:right="0" w:firstLine="0"/>
        <w:jc w:val="left"/>
      </w:pPr>
      <w:r>
        <w:t xml:space="preserve"> </w:t>
      </w:r>
    </w:p>
    <w:p w14:paraId="080FA420" w14:textId="77777777" w:rsidR="00B42512" w:rsidRDefault="00177938">
      <w:pPr>
        <w:spacing w:after="0" w:line="259" w:lineRule="auto"/>
        <w:ind w:left="131" w:right="0" w:firstLine="0"/>
        <w:jc w:val="center"/>
      </w:pPr>
      <w:r>
        <w:rPr>
          <w:b/>
          <w:sz w:val="40"/>
        </w:rPr>
        <w:t xml:space="preserve"> </w:t>
      </w:r>
    </w:p>
    <w:sectPr w:rsidR="00B42512">
      <w:headerReference w:type="even" r:id="rId44"/>
      <w:headerReference w:type="default" r:id="rId45"/>
      <w:headerReference w:type="first" r:id="rId46"/>
      <w:pgSz w:w="12240" w:h="15840"/>
      <w:pgMar w:top="359" w:right="763" w:bottom="1525"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95F012" w14:textId="77777777" w:rsidR="00177938" w:rsidRDefault="00177938">
      <w:pPr>
        <w:spacing w:after="0" w:line="240" w:lineRule="auto"/>
      </w:pPr>
      <w:r>
        <w:separator/>
      </w:r>
    </w:p>
  </w:endnote>
  <w:endnote w:type="continuationSeparator" w:id="0">
    <w:p w14:paraId="2630075B" w14:textId="77777777" w:rsidR="00177938" w:rsidRDefault="001779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143666" w14:textId="77777777" w:rsidR="00177938" w:rsidRDefault="00177938">
      <w:pPr>
        <w:spacing w:after="0" w:line="240" w:lineRule="auto"/>
      </w:pPr>
      <w:r>
        <w:separator/>
      </w:r>
    </w:p>
  </w:footnote>
  <w:footnote w:type="continuationSeparator" w:id="0">
    <w:p w14:paraId="5D505AFD" w14:textId="77777777" w:rsidR="00177938" w:rsidRDefault="001779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03C72C" w14:textId="77777777" w:rsidR="00B42512" w:rsidRDefault="00B42512">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91090F" w14:textId="77777777" w:rsidR="00B42512" w:rsidRDefault="00B42512">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F571F0" w14:textId="77777777" w:rsidR="00B42512" w:rsidRDefault="00B42512">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F0A968" w14:textId="77777777" w:rsidR="00B42512" w:rsidRDefault="00177938">
    <w:pPr>
      <w:spacing w:after="142" w:line="259" w:lineRule="auto"/>
      <w:ind w:left="0" w:right="569" w:firstLine="0"/>
      <w:jc w:val="center"/>
    </w:pPr>
    <w:r>
      <w:rPr>
        <w:b/>
        <w:sz w:val="40"/>
      </w:rPr>
      <w:t xml:space="preserve">Appendix </w:t>
    </w:r>
    <w:r>
      <w:fldChar w:fldCharType="begin"/>
    </w:r>
    <w:r>
      <w:instrText xml:space="preserve"> PAGE   \* MERGEFORMAT </w:instrText>
    </w:r>
    <w:r>
      <w:fldChar w:fldCharType="separate"/>
    </w:r>
    <w:r>
      <w:rPr>
        <w:b/>
        <w:sz w:val="40"/>
      </w:rPr>
      <w:t>B</w:t>
    </w:r>
    <w:r>
      <w:rPr>
        <w:b/>
        <w:sz w:val="40"/>
      </w:rPr>
      <w:fldChar w:fldCharType="end"/>
    </w:r>
    <w:r>
      <w:rPr>
        <w:b/>
        <w:sz w:val="40"/>
      </w:rPr>
      <w:t xml:space="preserve"> </w:t>
    </w:r>
  </w:p>
  <w:p w14:paraId="619FBFDD" w14:textId="77777777" w:rsidR="00B42512" w:rsidRDefault="00177938">
    <w:pPr>
      <w:spacing w:after="0" w:line="259" w:lineRule="auto"/>
      <w:ind w:left="0" w:right="480" w:firstLine="0"/>
      <w:jc w:val="center"/>
    </w:pPr>
    <w:r>
      <w:rPr>
        <w:b/>
        <w:sz w:val="4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BC4CFF" w14:textId="77777777" w:rsidR="00B42512" w:rsidRDefault="00B42512">
    <w:pPr>
      <w:spacing w:after="160" w:line="259" w:lineRule="auto"/>
      <w:ind w:left="0" w:righ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B3D44B" w14:textId="77777777" w:rsidR="00B42512" w:rsidRDefault="00177938">
    <w:pPr>
      <w:spacing w:after="142" w:line="259" w:lineRule="auto"/>
      <w:ind w:left="0" w:right="569" w:firstLine="0"/>
      <w:jc w:val="center"/>
    </w:pPr>
    <w:r>
      <w:rPr>
        <w:b/>
        <w:sz w:val="40"/>
      </w:rPr>
      <w:t xml:space="preserve">Appendix </w:t>
    </w:r>
    <w:r>
      <w:fldChar w:fldCharType="begin"/>
    </w:r>
    <w:r>
      <w:instrText xml:space="preserve"> PAGE   \* MERGEFORMAT </w:instrText>
    </w:r>
    <w:r>
      <w:fldChar w:fldCharType="separate"/>
    </w:r>
    <w:r>
      <w:rPr>
        <w:b/>
        <w:sz w:val="40"/>
      </w:rPr>
      <w:t>B</w:t>
    </w:r>
    <w:r>
      <w:rPr>
        <w:b/>
        <w:sz w:val="40"/>
      </w:rPr>
      <w:fldChar w:fldCharType="end"/>
    </w:r>
    <w:r>
      <w:rPr>
        <w:b/>
        <w:sz w:val="40"/>
      </w:rPr>
      <w:t xml:space="preserve"> </w:t>
    </w:r>
  </w:p>
  <w:p w14:paraId="2AE42B1F" w14:textId="77777777" w:rsidR="00B42512" w:rsidRDefault="00177938">
    <w:pPr>
      <w:spacing w:after="0" w:line="259" w:lineRule="auto"/>
      <w:ind w:left="0" w:right="480" w:firstLine="0"/>
      <w:jc w:val="center"/>
    </w:pPr>
    <w:r>
      <w:rPr>
        <w:b/>
        <w:sz w:val="40"/>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3393C0" w14:textId="77777777" w:rsidR="00B42512" w:rsidRDefault="00177938">
    <w:pPr>
      <w:spacing w:after="142" w:line="259" w:lineRule="auto"/>
      <w:ind w:left="0" w:right="645" w:firstLine="0"/>
      <w:jc w:val="center"/>
    </w:pPr>
    <w:r>
      <w:rPr>
        <w:b/>
        <w:sz w:val="40"/>
      </w:rPr>
      <w:t xml:space="preserve">Appendix </w:t>
    </w:r>
    <w:r>
      <w:fldChar w:fldCharType="begin"/>
    </w:r>
    <w:r>
      <w:instrText xml:space="preserve"> PAGE   \* MERGEFORMAT </w:instrText>
    </w:r>
    <w:r>
      <w:fldChar w:fldCharType="separate"/>
    </w:r>
    <w:r>
      <w:rPr>
        <w:b/>
        <w:sz w:val="40"/>
      </w:rPr>
      <w:t>G</w:t>
    </w:r>
    <w:r>
      <w:rPr>
        <w:b/>
        <w:sz w:val="40"/>
      </w:rPr>
      <w:fldChar w:fldCharType="end"/>
    </w:r>
    <w:r>
      <w:rPr>
        <w:b/>
        <w:sz w:val="40"/>
      </w:rPr>
      <w:t xml:space="preserve"> </w:t>
    </w:r>
  </w:p>
  <w:p w14:paraId="7EB7FE6B" w14:textId="77777777" w:rsidR="00B42512" w:rsidRDefault="00177938">
    <w:pPr>
      <w:spacing w:after="139" w:line="259" w:lineRule="auto"/>
      <w:ind w:left="0" w:right="559" w:firstLine="0"/>
      <w:jc w:val="center"/>
    </w:pPr>
    <w:r>
      <w:rPr>
        <w:b/>
        <w:sz w:val="40"/>
      </w:rPr>
      <w:t xml:space="preserve"> </w:t>
    </w:r>
  </w:p>
  <w:p w14:paraId="73A84E9F" w14:textId="77777777" w:rsidR="00B42512" w:rsidRDefault="00177938">
    <w:pPr>
      <w:spacing w:after="0" w:line="259" w:lineRule="auto"/>
      <w:ind w:left="0" w:right="559" w:firstLine="0"/>
      <w:jc w:val="center"/>
    </w:pPr>
    <w:r>
      <w:rPr>
        <w:b/>
        <w:sz w:val="40"/>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E50E65" w14:textId="77777777" w:rsidR="00B42512" w:rsidRDefault="00177938">
    <w:pPr>
      <w:spacing w:after="142" w:line="259" w:lineRule="auto"/>
      <w:ind w:left="0" w:right="648" w:firstLine="0"/>
      <w:jc w:val="center"/>
    </w:pPr>
    <w:r>
      <w:rPr>
        <w:b/>
        <w:sz w:val="40"/>
      </w:rPr>
      <w:t xml:space="preserve">Appendix </w:t>
    </w:r>
    <w:r>
      <w:fldChar w:fldCharType="begin"/>
    </w:r>
    <w:r>
      <w:instrText xml:space="preserve"> PAGE   \* MERGEFORMAT </w:instrText>
    </w:r>
    <w:r>
      <w:fldChar w:fldCharType="separate"/>
    </w:r>
    <w:r>
      <w:rPr>
        <w:b/>
        <w:sz w:val="40"/>
      </w:rPr>
      <w:t>B</w:t>
    </w:r>
    <w:r>
      <w:rPr>
        <w:b/>
        <w:sz w:val="40"/>
      </w:rPr>
      <w:fldChar w:fldCharType="end"/>
    </w:r>
    <w:r>
      <w:rPr>
        <w:b/>
        <w:sz w:val="40"/>
      </w:rPr>
      <w:t xml:space="preserve"> </w:t>
    </w:r>
  </w:p>
  <w:p w14:paraId="01660785" w14:textId="77777777" w:rsidR="00B42512" w:rsidRDefault="00177938">
    <w:pPr>
      <w:spacing w:after="0" w:line="259" w:lineRule="auto"/>
      <w:ind w:left="0" w:right="559" w:firstLine="0"/>
      <w:jc w:val="center"/>
    </w:pPr>
    <w:r>
      <w:rPr>
        <w:b/>
        <w:sz w:val="40"/>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B0B3BA" w14:textId="77777777" w:rsidR="00B42512" w:rsidRDefault="00177938">
    <w:pPr>
      <w:spacing w:after="142" w:line="259" w:lineRule="auto"/>
      <w:ind w:left="0" w:right="645" w:firstLine="0"/>
      <w:jc w:val="center"/>
    </w:pPr>
    <w:r>
      <w:rPr>
        <w:b/>
        <w:sz w:val="40"/>
      </w:rPr>
      <w:t xml:space="preserve">Appendix </w:t>
    </w:r>
    <w:r>
      <w:fldChar w:fldCharType="begin"/>
    </w:r>
    <w:r>
      <w:instrText xml:space="preserve"> PAGE   \* MERGEFORMAT </w:instrText>
    </w:r>
    <w:r>
      <w:fldChar w:fldCharType="separate"/>
    </w:r>
    <w:r>
      <w:rPr>
        <w:b/>
        <w:sz w:val="40"/>
      </w:rPr>
      <w:t>G</w:t>
    </w:r>
    <w:r>
      <w:rPr>
        <w:b/>
        <w:sz w:val="40"/>
      </w:rPr>
      <w:fldChar w:fldCharType="end"/>
    </w:r>
    <w:r>
      <w:rPr>
        <w:b/>
        <w:sz w:val="40"/>
      </w:rPr>
      <w:t xml:space="preserve"> </w:t>
    </w:r>
  </w:p>
  <w:p w14:paraId="5CEBD5EA" w14:textId="77777777" w:rsidR="00B42512" w:rsidRDefault="00177938">
    <w:pPr>
      <w:spacing w:after="139" w:line="259" w:lineRule="auto"/>
      <w:ind w:left="0" w:right="559" w:firstLine="0"/>
      <w:jc w:val="center"/>
    </w:pPr>
    <w:r>
      <w:rPr>
        <w:b/>
        <w:sz w:val="40"/>
      </w:rPr>
      <w:t xml:space="preserve"> </w:t>
    </w:r>
  </w:p>
  <w:p w14:paraId="5E7A48D9" w14:textId="77777777" w:rsidR="00B42512" w:rsidRDefault="00177938">
    <w:pPr>
      <w:spacing w:after="0" w:line="259" w:lineRule="auto"/>
      <w:ind w:left="0" w:right="559" w:firstLine="0"/>
      <w:jc w:val="center"/>
    </w:pPr>
    <w:r>
      <w:rPr>
        <w:b/>
        <w:sz w:val="40"/>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BFC3A0" w14:textId="77777777" w:rsidR="00B42512" w:rsidRDefault="00B42512">
    <w:pPr>
      <w:spacing w:after="160" w:line="259" w:lineRule="auto"/>
      <w:ind w:left="0" w:right="0" w:firstLine="0"/>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2EE31A" w14:textId="77777777" w:rsidR="00B42512" w:rsidRDefault="00B42512">
    <w:pPr>
      <w:spacing w:after="160" w:line="259" w:lineRule="auto"/>
      <w:ind w:left="0" w:right="0"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E3BA42" w14:textId="77777777" w:rsidR="00B42512" w:rsidRDefault="00B42512">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BA7106"/>
    <w:multiLevelType w:val="hybridMultilevel"/>
    <w:tmpl w:val="93D270BA"/>
    <w:lvl w:ilvl="0" w:tplc="1FF2E122">
      <w:start w:val="1"/>
      <w:numFmt w:val="decimal"/>
      <w:lvlText w:val="%1."/>
      <w:lvlJc w:val="left"/>
      <w:pPr>
        <w:ind w:left="3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5BF65DF4">
      <w:start w:val="1"/>
      <w:numFmt w:val="lowerLetter"/>
      <w:lvlText w:val="%2"/>
      <w:lvlJc w:val="left"/>
      <w:pPr>
        <w:ind w:left="10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CAA6F006">
      <w:start w:val="1"/>
      <w:numFmt w:val="lowerRoman"/>
      <w:lvlText w:val="%3"/>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C298C30A">
      <w:start w:val="1"/>
      <w:numFmt w:val="decimal"/>
      <w:lvlText w:val="%4"/>
      <w:lvlJc w:val="left"/>
      <w:pPr>
        <w:ind w:left="25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CAFA77B6">
      <w:start w:val="1"/>
      <w:numFmt w:val="lowerLetter"/>
      <w:lvlText w:val="%5"/>
      <w:lvlJc w:val="left"/>
      <w:pPr>
        <w:ind w:left="32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20C46C06">
      <w:start w:val="1"/>
      <w:numFmt w:val="lowerRoman"/>
      <w:lvlText w:val="%6"/>
      <w:lvlJc w:val="left"/>
      <w:pPr>
        <w:ind w:left="39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A99C41BE">
      <w:start w:val="1"/>
      <w:numFmt w:val="decimal"/>
      <w:lvlText w:val="%7"/>
      <w:lvlJc w:val="left"/>
      <w:pPr>
        <w:ind w:left="46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9CDE9C4E">
      <w:start w:val="1"/>
      <w:numFmt w:val="lowerLetter"/>
      <w:lvlText w:val="%8"/>
      <w:lvlJc w:val="left"/>
      <w:pPr>
        <w:ind w:left="54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ED183638">
      <w:start w:val="1"/>
      <w:numFmt w:val="lowerRoman"/>
      <w:lvlText w:val="%9"/>
      <w:lvlJc w:val="left"/>
      <w:pPr>
        <w:ind w:left="61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05851D6"/>
    <w:multiLevelType w:val="hybridMultilevel"/>
    <w:tmpl w:val="6BECCD80"/>
    <w:lvl w:ilvl="0" w:tplc="244278B2">
      <w:start w:val="1"/>
      <w:numFmt w:val="decimal"/>
      <w:lvlText w:val="%1."/>
      <w:lvlJc w:val="left"/>
      <w:pPr>
        <w:ind w:left="1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DD28E0D6">
      <w:start w:val="1"/>
      <w:numFmt w:val="lowerLetter"/>
      <w:lvlText w:val="%2"/>
      <w:lvlJc w:val="left"/>
      <w:pPr>
        <w:ind w:left="10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039CD304">
      <w:start w:val="1"/>
      <w:numFmt w:val="lowerRoman"/>
      <w:lvlText w:val="%3"/>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FB98B66E">
      <w:start w:val="1"/>
      <w:numFmt w:val="decimal"/>
      <w:lvlText w:val="%4"/>
      <w:lvlJc w:val="left"/>
      <w:pPr>
        <w:ind w:left="25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2FB22ACC">
      <w:start w:val="1"/>
      <w:numFmt w:val="lowerLetter"/>
      <w:lvlText w:val="%5"/>
      <w:lvlJc w:val="left"/>
      <w:pPr>
        <w:ind w:left="32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57C8119C">
      <w:start w:val="1"/>
      <w:numFmt w:val="lowerRoman"/>
      <w:lvlText w:val="%6"/>
      <w:lvlJc w:val="left"/>
      <w:pPr>
        <w:ind w:left="39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042413DA">
      <w:start w:val="1"/>
      <w:numFmt w:val="decimal"/>
      <w:lvlText w:val="%7"/>
      <w:lvlJc w:val="left"/>
      <w:pPr>
        <w:ind w:left="46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177E8ABC">
      <w:start w:val="1"/>
      <w:numFmt w:val="lowerLetter"/>
      <w:lvlText w:val="%8"/>
      <w:lvlJc w:val="left"/>
      <w:pPr>
        <w:ind w:left="54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F7924322">
      <w:start w:val="1"/>
      <w:numFmt w:val="lowerRoman"/>
      <w:lvlText w:val="%9"/>
      <w:lvlJc w:val="left"/>
      <w:pPr>
        <w:ind w:left="61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512"/>
    <w:rsid w:val="00177938"/>
    <w:rsid w:val="00AA63A5"/>
    <w:rsid w:val="00B42512"/>
    <w:rsid w:val="00E055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7ED7C"/>
  <w15:docId w15:val="{6EBD7EAE-4008-4B37-ACB5-035C2A6D7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310" w:lineRule="auto"/>
      <w:ind w:left="10" w:right="84" w:hanging="10"/>
      <w:jc w:val="both"/>
    </w:pPr>
    <w:rPr>
      <w:rFonts w:ascii="Cambria" w:eastAsia="Cambria" w:hAnsi="Cambria" w:cs="Cambria"/>
      <w:color w:val="000000"/>
    </w:rPr>
  </w:style>
  <w:style w:type="paragraph" w:styleId="Heading1">
    <w:name w:val="heading 1"/>
    <w:next w:val="Normal"/>
    <w:link w:val="Heading1Char"/>
    <w:uiPriority w:val="9"/>
    <w:qFormat/>
    <w:pPr>
      <w:keepNext/>
      <w:keepLines/>
      <w:spacing w:after="141"/>
      <w:ind w:left="10" w:right="87" w:hanging="10"/>
      <w:jc w:val="center"/>
      <w:outlineLvl w:val="0"/>
    </w:pPr>
    <w:rPr>
      <w:rFonts w:ascii="Cambria" w:eastAsia="Cambria" w:hAnsi="Cambria" w:cs="Cambria"/>
      <w:b/>
      <w:color w:val="000000"/>
      <w:sz w:val="40"/>
    </w:rPr>
  </w:style>
  <w:style w:type="paragraph" w:styleId="Heading2">
    <w:name w:val="heading 2"/>
    <w:next w:val="Normal"/>
    <w:link w:val="Heading2Char"/>
    <w:uiPriority w:val="9"/>
    <w:unhideWhenUsed/>
    <w:qFormat/>
    <w:pPr>
      <w:keepNext/>
      <w:keepLines/>
      <w:spacing w:after="41"/>
      <w:ind w:left="10" w:hanging="10"/>
      <w:outlineLvl w:val="1"/>
    </w:pPr>
    <w:rPr>
      <w:rFonts w:ascii="Cambria" w:eastAsia="Cambria" w:hAnsi="Cambria" w:cs="Cambria"/>
      <w:b/>
      <w:color w:val="000000"/>
      <w:u w:val="single" w:color="000000"/>
    </w:rPr>
  </w:style>
  <w:style w:type="paragraph" w:styleId="Heading3">
    <w:name w:val="heading 3"/>
    <w:next w:val="Normal"/>
    <w:link w:val="Heading3Char"/>
    <w:uiPriority w:val="9"/>
    <w:unhideWhenUsed/>
    <w:qFormat/>
    <w:pPr>
      <w:keepNext/>
      <w:keepLines/>
      <w:spacing w:after="42"/>
      <w:ind w:left="10" w:hanging="10"/>
      <w:outlineLvl w:val="2"/>
    </w:pPr>
    <w:rPr>
      <w:rFonts w:ascii="Cambria" w:eastAsia="Cambria" w:hAnsi="Cambria" w:cs="Cambria"/>
      <w: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mbria" w:eastAsia="Cambria" w:hAnsi="Cambria" w:cs="Cambria"/>
      <w:i/>
      <w:color w:val="000000"/>
      <w:sz w:val="22"/>
    </w:rPr>
  </w:style>
  <w:style w:type="character" w:customStyle="1" w:styleId="Heading2Char">
    <w:name w:val="Heading 2 Char"/>
    <w:link w:val="Heading2"/>
    <w:rPr>
      <w:rFonts w:ascii="Cambria" w:eastAsia="Cambria" w:hAnsi="Cambria" w:cs="Cambria"/>
      <w:b/>
      <w:color w:val="000000"/>
      <w:sz w:val="22"/>
      <w:u w:val="single" w:color="000000"/>
    </w:rPr>
  </w:style>
  <w:style w:type="character" w:customStyle="1" w:styleId="Heading1Char">
    <w:name w:val="Heading 1 Char"/>
    <w:link w:val="Heading1"/>
    <w:rPr>
      <w:rFonts w:ascii="Cambria" w:eastAsia="Cambria" w:hAnsi="Cambria" w:cs="Cambria"/>
      <w:b/>
      <w:color w:val="000000"/>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3" Type="http://schemas.openxmlformats.org/officeDocument/2006/relationships/image" Target="media/image0.jpg"/><Relationship Id="rId18" Type="http://schemas.openxmlformats.org/officeDocument/2006/relationships/image" Target="media/image2.jpg"/><Relationship Id="rId26" Type="http://schemas.openxmlformats.org/officeDocument/2006/relationships/image" Target="media/image7.jpg"/><Relationship Id="rId39" Type="http://schemas.openxmlformats.org/officeDocument/2006/relationships/hyperlink" Target="http://search.proquest.com/docview/1314776071?accountid=10267" TargetMode="External"/><Relationship Id="rId21" Type="http://schemas.openxmlformats.org/officeDocument/2006/relationships/header" Target="header3.xml"/><Relationship Id="rId34" Type="http://schemas.openxmlformats.org/officeDocument/2006/relationships/header" Target="header8.xml"/><Relationship Id="rId42" Type="http://schemas.openxmlformats.org/officeDocument/2006/relationships/hyperlink" Target="http://dx.doi.org/10.1057/gpp.2013.11" TargetMode="External"/><Relationship Id="rId47" Type="http://schemas.openxmlformats.org/officeDocument/2006/relationships/fontTable" Target="fontTable.xml"/><Relationship Id="rId7" Type="http://schemas.openxmlformats.org/officeDocument/2006/relationships/image" Target="media/image1.jpg"/><Relationship Id="hyperlink48" Type="http://schemas.openxmlformats.org/officeDocument/2006/relationships/hyperlink" Target="https://digitalcommons.ilr.cornell.edu/student" TargetMode="External"/><Relationship Id="rId2" Type="http://schemas.openxmlformats.org/officeDocument/2006/relationships/styles" Target="styles.xml"/><Relationship Id="rId16" Type="http://schemas.openxmlformats.org/officeDocument/2006/relationships/hyperlink" Target="http://digitalcommons.ilr.cornell.edu/student/59" TargetMode="External"/><Relationship Id="rId29"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24" Type="http://schemas.openxmlformats.org/officeDocument/2006/relationships/image" Target="media/image5.jpg"/><Relationship Id="rId32" Type="http://schemas.openxmlformats.org/officeDocument/2006/relationships/image" Target="media/image10.jpg"/><Relationship Id="rId37" Type="http://schemas.openxmlformats.org/officeDocument/2006/relationships/hyperlink" Target="http://www.shrm.org/about/foundation/research/documents/retaining%20talent-%20final.pdf" TargetMode="External"/><Relationship Id="rId40" Type="http://schemas.openxmlformats.org/officeDocument/2006/relationships/hyperlink" Target="http://search.proquest.com/docview/611022354?accountid=10267" TargetMode="External"/><Relationship Id="rId45"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yperlink" Target="https://securelb.imodules.com/s/1717/alumni/index.aspx?sid=1717&amp;gid=2&amp;pgid=403&amp;cid=1031&amp;dids=50.254&amp;bledit=1&amp;appealcode=OTX0OLDC" TargetMode="External"/><Relationship Id="rId23" Type="http://schemas.openxmlformats.org/officeDocument/2006/relationships/image" Target="media/image4.jpg"/><Relationship Id="rId28" Type="http://schemas.openxmlformats.org/officeDocument/2006/relationships/header" Target="header5.xml"/><Relationship Id="rId36" Type="http://schemas.openxmlformats.org/officeDocument/2006/relationships/hyperlink" Target="http://www.shrm.org/about/foundation/research/documents/retaining%20talent-%20final.pdf" TargetMode="External"/><Relationship Id="rId19" Type="http://schemas.openxmlformats.org/officeDocument/2006/relationships/header" Target="header1.xml"/><Relationship Id="rId31" Type="http://schemas.openxmlformats.org/officeDocument/2006/relationships/image" Target="media/image9.jpg"/><Relationship Id="rId44" Type="http://schemas.openxmlformats.org/officeDocument/2006/relationships/header" Target="header10.xml"/><Relationship Id="rId4" Type="http://schemas.openxmlformats.org/officeDocument/2006/relationships/webSettings" Target="webSettings.xml"/><Relationship Id="rId9" Type="http://schemas.openxmlformats.org/officeDocument/2006/relationships/hyperlink" Target="https://digitalcommons.ilr.cornell.edu/ilr" TargetMode="External"/><Relationship Id="rId14" Type="http://schemas.openxmlformats.org/officeDocument/2006/relationships/hyperlink" Target="https://digitalcommons.ilr.cornell.edu/student?utm_source=digitalcommons.ilr.cornell.edu%2Fstudent%2F59&amp;utm_medium=PDF&amp;utm_campaign=PDFCoverPages" TargetMode="External"/><Relationship Id="rId22" Type="http://schemas.openxmlformats.org/officeDocument/2006/relationships/image" Target="media/image3.jpg"/><Relationship Id="rId27" Type="http://schemas.openxmlformats.org/officeDocument/2006/relationships/header" Target="header4.xml"/><Relationship Id="rId30" Type="http://schemas.openxmlformats.org/officeDocument/2006/relationships/image" Target="media/image8.jpg"/><Relationship Id="rId35" Type="http://schemas.openxmlformats.org/officeDocument/2006/relationships/header" Target="header9.xml"/><Relationship Id="rId43" Type="http://schemas.openxmlformats.org/officeDocument/2006/relationships/hyperlink" Target="http://dx.doi.org/10.1057/gpp.2013.11" TargetMode="External"/><Relationship Id="rId48" Type="http://schemas.openxmlformats.org/officeDocument/2006/relationships/theme" Target="theme/theme1.xml"/><Relationship Id="rId8" Type="http://schemas.openxmlformats.org/officeDocument/2006/relationships/hyperlink" Target="https://digitalcommons.ilr.cornell.edu/student" TargetMode="External"/><Relationship Id="hyperlink49" Type="http://schemas.openxmlformats.org/officeDocument/2006/relationships/hyperlink" Target="https://digitalcommons.ilr.cornell.edu/ilr" TargetMode="External"/><Relationship Id="rId3" Type="http://schemas.openxmlformats.org/officeDocument/2006/relationships/settings" Target="settings.xml"/><Relationship Id="rId17" Type="http://schemas.openxmlformats.org/officeDocument/2006/relationships/hyperlink" Target="https://digitalcommons.ilr.cornell.edu/student/59" TargetMode="External"/><Relationship Id="rId25" Type="http://schemas.openxmlformats.org/officeDocument/2006/relationships/image" Target="media/image6.jpg"/><Relationship Id="rId33" Type="http://schemas.openxmlformats.org/officeDocument/2006/relationships/header" Target="header7.xml"/><Relationship Id="rId38" Type="http://schemas.openxmlformats.org/officeDocument/2006/relationships/hyperlink" Target="http://search.proquest.com/docview/1314776071?accountid=10267" TargetMode="External"/><Relationship Id="rId46" Type="http://schemas.openxmlformats.org/officeDocument/2006/relationships/header" Target="header12.xml"/><Relationship Id="rId20" Type="http://schemas.openxmlformats.org/officeDocument/2006/relationships/header" Target="header2.xml"/><Relationship Id="rId41" Type="http://schemas.openxmlformats.org/officeDocument/2006/relationships/hyperlink" Target="http://search.proquest.com/docview/611022354?accountid=102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2477</Words>
  <Characters>14124</Characters>
  <Application>Microsoft Office Word</Application>
  <DocSecurity>0</DocSecurity>
  <Lines>117</Lines>
  <Paragraphs>33</Paragraphs>
  <ScaleCrop>false</ScaleCrop>
  <Company/>
  <LinksUpToDate>false</LinksUpToDate>
  <CharactersWithSpaces>16568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are the Top Factors That Drive Employee Retention and are There Demographic (Gender, Generation, Ethnicity, Geography, etc.) Differences in These Factors?</dc:title>
  <dc:subject/>
  <dc:creator>Marie Rose Muir and Lin Li</dc:creator>
  <cp:keywords/>
  <cp:lastModifiedBy>user</cp:lastModifiedBy>
  <cp:revision>3</cp:revision>
  <dcterms:created xsi:type="dcterms:W3CDTF">2020-08-22T10:39:00Z</dcterms:created>
  <dcterms:modified xsi:type="dcterms:W3CDTF">2020-08-22T10:41:00Z</dcterms:modified>
</cp:coreProperties>
</file>